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7C448" w14:textId="1611F0DE" w:rsidR="00152643" w:rsidRDefault="005749E8" w:rsidP="005749E8">
      <w:pPr>
        <w:jc w:val="center"/>
      </w:pPr>
      <w:r w:rsidRPr="007B6C85">
        <w:rPr>
          <w:noProof/>
        </w:rPr>
        <w:drawing>
          <wp:inline distT="0" distB="0" distL="0" distR="0" wp14:anchorId="3925B2B4" wp14:editId="69AFBDD1">
            <wp:extent cx="3310759" cy="970778"/>
            <wp:effectExtent l="0" t="0" r="4445" b="1270"/>
            <wp:docPr id="4" name="Picture 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0759" cy="970778"/>
                    </a:xfrm>
                    <a:prstGeom prst="rect">
                      <a:avLst/>
                    </a:prstGeom>
                  </pic:spPr>
                </pic:pic>
              </a:graphicData>
            </a:graphic>
          </wp:inline>
        </w:drawing>
      </w:r>
    </w:p>
    <w:p w14:paraId="40F226EC" w14:textId="77777777" w:rsidR="00D859F7" w:rsidRPr="008A3A90" w:rsidRDefault="00D859F7" w:rsidP="00D859F7">
      <w:r w:rsidRPr="002A4DD0">
        <w:rPr>
          <w:noProof/>
        </w:rPr>
        <mc:AlternateContent>
          <mc:Choice Requires="wps">
            <w:drawing>
              <wp:anchor distT="0" distB="0" distL="114300" distR="114300" simplePos="0" relativeHeight="251672576" behindDoc="0" locked="0" layoutInCell="1" allowOverlap="1" wp14:anchorId="24CC04AD" wp14:editId="41DC2BA0">
                <wp:simplePos x="0" y="0"/>
                <wp:positionH relativeFrom="column">
                  <wp:posOffset>2567940</wp:posOffset>
                </wp:positionH>
                <wp:positionV relativeFrom="paragraph">
                  <wp:posOffset>7090410</wp:posOffset>
                </wp:positionV>
                <wp:extent cx="4149725" cy="1015365"/>
                <wp:effectExtent l="0" t="0" r="0" b="0"/>
                <wp:wrapNone/>
                <wp:docPr id="3" name="TextBox 16"/>
                <wp:cNvGraphicFramePr/>
                <a:graphic xmlns:a="http://schemas.openxmlformats.org/drawingml/2006/main">
                  <a:graphicData uri="http://schemas.microsoft.com/office/word/2010/wordprocessingShape">
                    <wps:wsp>
                      <wps:cNvSpPr txBox="1"/>
                      <wps:spPr>
                        <a:xfrm>
                          <a:off x="0" y="0"/>
                          <a:ext cx="4149725" cy="1015365"/>
                        </a:xfrm>
                        <a:prstGeom prst="rect">
                          <a:avLst/>
                        </a:prstGeom>
                        <a:noFill/>
                      </wps:spPr>
                      <wps:txbx>
                        <w:txbxContent>
                          <w:p w14:paraId="799ADECE" w14:textId="77777777" w:rsidR="00D859F7" w:rsidRPr="00DB65EC" w:rsidRDefault="00D859F7" w:rsidP="00D859F7">
                            <w:pPr>
                              <w:spacing w:line="240" w:lineRule="auto"/>
                              <w:jc w:val="center"/>
                              <w:rPr>
                                <w:color w:val="A6A6A6" w:themeColor="background1" w:themeShade="A6"/>
                                <w:szCs w:val="24"/>
                              </w:rPr>
                            </w:pPr>
                            <w:r w:rsidRPr="00DB65EC">
                              <w:rPr>
                                <w:rFonts w:hAnsi="Calibri"/>
                                <w:color w:val="A6A6A6" w:themeColor="background1" w:themeShade="A6"/>
                                <w:kern w:val="24"/>
                              </w:rPr>
                              <w:t>This is a Viewpoint paper and as such the</w:t>
                            </w:r>
                            <w:r w:rsidRPr="00DB65EC">
                              <w:rPr>
                                <w:color w:val="A6A6A6" w:themeColor="background1" w:themeShade="A6"/>
                                <w:szCs w:val="24"/>
                              </w:rPr>
                              <w:t xml:space="preserve"> </w:t>
                            </w:r>
                            <w:r w:rsidRPr="00DB65EC">
                              <w:rPr>
                                <w:rFonts w:hAnsi="Calibri"/>
                                <w:color w:val="A6A6A6" w:themeColor="background1" w:themeShade="A6"/>
                                <w:kern w:val="24"/>
                              </w:rPr>
                              <w:t>information in this document originates from the office of the Lehigh County Controller and does not represent an audit performed under the Generally Accepted Government Auditing Standards (GAGAS)</w:t>
                            </w:r>
                          </w:p>
                        </w:txbxContent>
                      </wps:txbx>
                      <wps:bodyPr wrap="square" rtlCol="0">
                        <a:spAutoFit/>
                      </wps:bodyPr>
                    </wps:wsp>
                  </a:graphicData>
                </a:graphic>
                <wp14:sizeRelH relativeFrom="margin">
                  <wp14:pctWidth>0</wp14:pctWidth>
                </wp14:sizeRelH>
              </wp:anchor>
            </w:drawing>
          </mc:Choice>
          <mc:Fallback>
            <w:pict>
              <v:shapetype w14:anchorId="24CC04AD" id="_x0000_t202" coordsize="21600,21600" o:spt="202" path="m,l,21600r21600,l21600,xe">
                <v:stroke joinstyle="miter"/>
                <v:path gradientshapeok="t" o:connecttype="rect"/>
              </v:shapetype>
              <v:shape id="TextBox 16" o:spid="_x0000_s1026" type="#_x0000_t202" style="position:absolute;margin-left:202.2pt;margin-top:558.3pt;width:326.75pt;height:79.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" filled="f" stroked="f">
                <v:textbox style="mso-fit-shape-to-text:t">
                  <w:txbxContent>
                    <w:p w14:paraId="799ADECE" w14:textId="77777777" w:rsidR="00D859F7" w:rsidRPr="00DB65EC" w:rsidRDefault="00D859F7" w:rsidP="00D859F7">
                      <w:pPr>
                        <w:spacing w:line="240" w:lineRule="auto"/>
                        <w:jc w:val="center"/>
                        <w:rPr>
                          <w:color w:val="A6A6A6" w:themeColor="background1" w:themeShade="A6"/>
                          <w:szCs w:val="24"/>
                        </w:rPr>
                      </w:pPr>
                      <w:r w:rsidRPr="00DB65EC">
                        <w:rPr>
                          <w:rFonts w:hAnsi="Calibri"/>
                          <w:color w:val="A6A6A6" w:themeColor="background1" w:themeShade="A6"/>
                          <w:kern w:val="24"/>
                        </w:rPr>
                        <w:t>This is a Viewpoint paper and as such the</w:t>
                      </w:r>
                      <w:r w:rsidRPr="00DB65EC">
                        <w:rPr>
                          <w:color w:val="A6A6A6" w:themeColor="background1" w:themeShade="A6"/>
                          <w:szCs w:val="24"/>
                        </w:rPr>
                        <w:t xml:space="preserve"> </w:t>
                      </w:r>
                      <w:r w:rsidRPr="00DB65EC">
                        <w:rPr>
                          <w:rFonts w:hAnsi="Calibri"/>
                          <w:color w:val="A6A6A6" w:themeColor="background1" w:themeShade="A6"/>
                          <w:kern w:val="24"/>
                        </w:rPr>
                        <w:t>information in this document originates from the office of the Lehigh County Controller and does not represent an audit performed under the Generally Accepted Government Auditing Standards (GAGAS)</w:t>
                      </w:r>
                    </w:p>
                  </w:txbxContent>
                </v:textbox>
              </v:shape>
            </w:pict>
          </mc:Fallback>
        </mc:AlternateContent>
      </w:r>
      <w:r w:rsidRPr="002A4DD0">
        <w:rPr>
          <w:noProof/>
        </w:rPr>
        <mc:AlternateContent>
          <mc:Choice Requires="wps">
            <w:drawing>
              <wp:anchor distT="0" distB="0" distL="114300" distR="114300" simplePos="0" relativeHeight="251671552" behindDoc="0" locked="0" layoutInCell="1" allowOverlap="1" wp14:anchorId="36827D9B" wp14:editId="47196D0A">
                <wp:simplePos x="0" y="0"/>
                <wp:positionH relativeFrom="column">
                  <wp:posOffset>2903220</wp:posOffset>
                </wp:positionH>
                <wp:positionV relativeFrom="paragraph">
                  <wp:posOffset>6795135</wp:posOffset>
                </wp:positionV>
                <wp:extent cx="3342640" cy="296545"/>
                <wp:effectExtent l="0" t="0" r="0" b="0"/>
                <wp:wrapNone/>
                <wp:docPr id="6" name="Rectangle 15"/>
                <wp:cNvGraphicFramePr/>
                <a:graphic xmlns:a="http://schemas.openxmlformats.org/drawingml/2006/main">
                  <a:graphicData uri="http://schemas.microsoft.com/office/word/2010/wordprocessingShape">
                    <wps:wsp>
                      <wps:cNvSpPr/>
                      <wps:spPr>
                        <a:xfrm>
                          <a:off x="0" y="0"/>
                          <a:ext cx="3342640" cy="296545"/>
                        </a:xfrm>
                        <a:prstGeom prst="rect">
                          <a:avLst/>
                        </a:prstGeom>
                      </wps:spPr>
                      <wps:txbx>
                        <w:txbxContent>
                          <w:p w14:paraId="6FE15F04" w14:textId="77777777" w:rsidR="00D859F7" w:rsidRPr="005A053F" w:rsidRDefault="00D859F7" w:rsidP="00D859F7">
                            <w:pPr>
                              <w:spacing w:line="240" w:lineRule="auto"/>
                              <w:jc w:val="right"/>
                              <w:rPr>
                                <w:rFonts w:hAnsi="Calibri"/>
                                <w:color w:val="7F7F7F" w:themeColor="text1" w:themeTint="80"/>
                                <w:kern w:val="24"/>
                                <w:sz w:val="32"/>
                                <w:szCs w:val="32"/>
                              </w:rPr>
                            </w:pPr>
                            <w:r w:rsidRPr="005F7B21">
                              <w:rPr>
                                <w:rFonts w:hAnsi="Calibri"/>
                                <w:b/>
                                <w:bCs/>
                                <w:color w:val="7F7F7F" w:themeColor="text1" w:themeTint="80"/>
                                <w:kern w:val="24"/>
                                <w:sz w:val="32"/>
                                <w:szCs w:val="32"/>
                              </w:rPr>
                              <w:t>17 S 7</w:t>
                            </w:r>
                            <w:r w:rsidRPr="005A053F">
                              <w:rPr>
                                <w:rFonts w:hAnsi="Calibri"/>
                                <w:color w:val="7F7F7F" w:themeColor="text1" w:themeTint="80"/>
                                <w:kern w:val="24"/>
                                <w:sz w:val="32"/>
                                <w:szCs w:val="32"/>
                              </w:rPr>
                              <w:t>th Street, Allentown, PA, 18101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6827D9B" id="Rectangle 15" o:spid="_x0000_s1027" style="position:absolute;margin-left:228.6pt;margin-top:535.05pt;width:263.2pt;height:2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" filled="f" stroked="f">
                <v:textbox>
                  <w:txbxContent>
                    <w:p w14:paraId="6FE15F04" w14:textId="77777777" w:rsidR="00D859F7" w:rsidRPr="005A053F" w:rsidRDefault="00D859F7" w:rsidP="00D859F7">
                      <w:pPr>
                        <w:spacing w:line="240" w:lineRule="auto"/>
                        <w:jc w:val="right"/>
                        <w:rPr>
                          <w:rFonts w:hAnsi="Calibri"/>
                          <w:color w:val="7F7F7F" w:themeColor="text1" w:themeTint="80"/>
                          <w:kern w:val="24"/>
                          <w:sz w:val="32"/>
                          <w:szCs w:val="32"/>
                        </w:rPr>
                      </w:pPr>
                      <w:r w:rsidRPr="005F7B21">
                        <w:rPr>
                          <w:rFonts w:hAnsi="Calibri"/>
                          <w:b/>
                          <w:bCs/>
                          <w:color w:val="7F7F7F" w:themeColor="text1" w:themeTint="80"/>
                          <w:kern w:val="24"/>
                          <w:sz w:val="32"/>
                          <w:szCs w:val="32"/>
                        </w:rPr>
                        <w:t>17 S 7</w:t>
                      </w:r>
                      <w:r w:rsidRPr="005A053F">
                        <w:rPr>
                          <w:rFonts w:hAnsi="Calibri"/>
                          <w:color w:val="7F7F7F" w:themeColor="text1" w:themeTint="80"/>
                          <w:kern w:val="24"/>
                          <w:sz w:val="32"/>
                          <w:szCs w:val="32"/>
                        </w:rPr>
                        <w:t>th Street, Allentown, PA, 18101</w:t>
                      </w:r>
                    </w:p>
                  </w:txbxContent>
                </v:textbox>
              </v:rect>
            </w:pict>
          </mc:Fallback>
        </mc:AlternateContent>
      </w:r>
      <w:r w:rsidRPr="002A4DD0">
        <w:rPr>
          <w:noProof/>
        </w:rPr>
        <w:drawing>
          <wp:anchor distT="0" distB="0" distL="114300" distR="114300" simplePos="0" relativeHeight="251668480" behindDoc="0" locked="0" layoutInCell="1" allowOverlap="1" wp14:anchorId="3578E848" wp14:editId="7A73EF37">
            <wp:simplePos x="0" y="0"/>
            <wp:positionH relativeFrom="margin">
              <wp:posOffset>3075305</wp:posOffset>
            </wp:positionH>
            <wp:positionV relativeFrom="paragraph">
              <wp:posOffset>6518275</wp:posOffset>
            </wp:positionV>
            <wp:extent cx="3089275" cy="276225"/>
            <wp:effectExtent l="0" t="0" r="0" b="9525"/>
            <wp:wrapNone/>
            <wp:docPr id="10" name="Picture 13">
              <a:extLst xmlns:a="http://schemas.openxmlformats.org/drawingml/2006/main">
                <a:ext uri="{FF2B5EF4-FFF2-40B4-BE49-F238E27FC236}">
                  <a16:creationId xmlns:a16="http://schemas.microsoft.com/office/drawing/2014/main" id="{A9EBDAD1-F6F3-4022-BF22-8499D83477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A9EBDAD1-F6F3-4022-BF22-8499D8347708}"/>
                        </a:ext>
                      </a:extLst>
                    </pic:cNvPr>
                    <pic:cNvPicPr>
                      <a:picLocks noChangeAspect="1"/>
                    </pic:cNvPicPr>
                  </pic:nvPicPr>
                  <pic:blipFill>
                    <a:blip r:embed="rId9">
                      <a:clrChange>
                        <a:clrFrom>
                          <a:srgbClr val="93CAED"/>
                        </a:clrFrom>
                        <a:clrTo>
                          <a:srgbClr val="93CAED">
                            <a:alpha val="0"/>
                          </a:srgbClr>
                        </a:clrTo>
                      </a:clrChange>
                      <a:duotone>
                        <a:prstClr val="black"/>
                        <a:schemeClr val="tx1">
                          <a:lumMod val="50000"/>
                          <a:lumOff val="50000"/>
                          <a:tint val="45000"/>
                          <a:satMod val="400000"/>
                        </a:schemeClr>
                      </a:duotone>
                    </a:blip>
                    <a:stretch>
                      <a:fillRect/>
                    </a:stretch>
                  </pic:blipFill>
                  <pic:spPr>
                    <a:xfrm>
                      <a:off x="0" y="0"/>
                      <a:ext cx="3089275" cy="276225"/>
                    </a:xfrm>
                    <a:prstGeom prst="rect">
                      <a:avLst/>
                    </a:prstGeom>
                    <a:noFill/>
                    <a:effectLst>
                      <a:softEdge rad="0"/>
                    </a:effectLst>
                  </pic:spPr>
                </pic:pic>
              </a:graphicData>
            </a:graphic>
            <wp14:sizeRelH relativeFrom="margin">
              <wp14:pctWidth>0</wp14:pctWidth>
            </wp14:sizeRelH>
            <wp14:sizeRelV relativeFrom="margin">
              <wp14:pctHeight>0</wp14:pctHeight>
            </wp14:sizeRelV>
          </wp:anchor>
        </w:drawing>
      </w:r>
      <w:r w:rsidRPr="002A4DD0">
        <w:rPr>
          <w:noProof/>
        </w:rPr>
        <mc:AlternateContent>
          <mc:Choice Requires="wps">
            <w:drawing>
              <wp:anchor distT="0" distB="0" distL="114300" distR="114300" simplePos="0" relativeHeight="251670528" behindDoc="0" locked="0" layoutInCell="1" allowOverlap="1" wp14:anchorId="4CAD01BF" wp14:editId="2428E477">
                <wp:simplePos x="0" y="0"/>
                <wp:positionH relativeFrom="column">
                  <wp:posOffset>2548255</wp:posOffset>
                </wp:positionH>
                <wp:positionV relativeFrom="paragraph">
                  <wp:posOffset>6095365</wp:posOffset>
                </wp:positionV>
                <wp:extent cx="3929380" cy="391160"/>
                <wp:effectExtent l="0" t="0" r="0" b="0"/>
                <wp:wrapNone/>
                <wp:docPr id="7" name="Rectangle 15"/>
                <wp:cNvGraphicFramePr/>
                <a:graphic xmlns:a="http://schemas.openxmlformats.org/drawingml/2006/main">
                  <a:graphicData uri="http://schemas.microsoft.com/office/word/2010/wordprocessingShape">
                    <wps:wsp>
                      <wps:cNvSpPr/>
                      <wps:spPr>
                        <a:xfrm>
                          <a:off x="0" y="0"/>
                          <a:ext cx="3929380" cy="391160"/>
                        </a:xfrm>
                        <a:prstGeom prst="rect">
                          <a:avLst/>
                        </a:prstGeom>
                      </wps:spPr>
                      <wps:txbx>
                        <w:txbxContent>
                          <w:p w14:paraId="0C4E33F6" w14:textId="77777777" w:rsidR="00D859F7" w:rsidRPr="00DB65EC" w:rsidRDefault="00D859F7" w:rsidP="00D859F7">
                            <w:pPr>
                              <w:spacing w:line="240" w:lineRule="auto"/>
                              <w:jc w:val="right"/>
                              <w:rPr>
                                <w:b/>
                                <w:bCs/>
                                <w:color w:val="105692"/>
                                <w:spacing w:val="60"/>
                                <w:kern w:val="24"/>
                                <w:sz w:val="44"/>
                                <w:szCs w:val="44"/>
                              </w:rPr>
                            </w:pPr>
                            <w:r w:rsidRPr="00DB65EC">
                              <w:rPr>
                                <w:b/>
                                <w:bCs/>
                                <w:color w:val="105692"/>
                                <w:spacing w:val="60"/>
                                <w:kern w:val="24"/>
                                <w:sz w:val="44"/>
                                <w:szCs w:val="44"/>
                              </w:rPr>
                              <w:t>MARK PINSLEY, MBA</w:t>
                            </w:r>
                          </w:p>
                        </w:txbxContent>
                      </wps:txbx>
                      <wps:bodyPr wrap="square">
                        <a:noAutofit/>
                      </wps:bodyPr>
                    </wps:wsp>
                  </a:graphicData>
                </a:graphic>
                <wp14:sizeRelV relativeFrom="margin">
                  <wp14:pctHeight>0</wp14:pctHeight>
                </wp14:sizeRelV>
              </wp:anchor>
            </w:drawing>
          </mc:Choice>
          <mc:Fallback>
            <w:pict>
              <v:rect w14:anchorId="4CAD01BF" id="_x0000_s1028" style="position:absolute;margin-left:200.65pt;margin-top:479.95pt;width:309.4pt;height:30.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" filled="f" stroked="f">
                <v:textbox>
                  <w:txbxContent>
                    <w:p w14:paraId="0C4E33F6" w14:textId="77777777" w:rsidR="00D859F7" w:rsidRPr="00DB65EC" w:rsidRDefault="00D859F7" w:rsidP="00D859F7">
                      <w:pPr>
                        <w:spacing w:line="240" w:lineRule="auto"/>
                        <w:jc w:val="right"/>
                        <w:rPr>
                          <w:b/>
                          <w:bCs/>
                          <w:color w:val="105692"/>
                          <w:spacing w:val="60"/>
                          <w:kern w:val="24"/>
                          <w:sz w:val="44"/>
                          <w:szCs w:val="44"/>
                        </w:rPr>
                      </w:pPr>
                      <w:r w:rsidRPr="00DB65EC">
                        <w:rPr>
                          <w:b/>
                          <w:bCs/>
                          <w:color w:val="105692"/>
                          <w:spacing w:val="60"/>
                          <w:kern w:val="24"/>
                          <w:sz w:val="44"/>
                          <w:szCs w:val="44"/>
                        </w:rPr>
                        <w:t>MARK PINSLEY, MBA</w:t>
                      </w:r>
                    </w:p>
                  </w:txbxContent>
                </v:textbox>
              </v:rect>
            </w:pict>
          </mc:Fallback>
        </mc:AlternateContent>
      </w:r>
      <w:r w:rsidRPr="002A4DD0">
        <w:rPr>
          <w:noProof/>
        </w:rPr>
        <mc:AlternateContent>
          <mc:Choice Requires="wps">
            <w:drawing>
              <wp:anchor distT="0" distB="0" distL="114300" distR="114300" simplePos="0" relativeHeight="251669504" behindDoc="0" locked="0" layoutInCell="1" allowOverlap="1" wp14:anchorId="4FD1682B" wp14:editId="2F9629A4">
                <wp:simplePos x="0" y="0"/>
                <wp:positionH relativeFrom="margin">
                  <wp:posOffset>266700</wp:posOffset>
                </wp:positionH>
                <wp:positionV relativeFrom="paragraph">
                  <wp:posOffset>6351905</wp:posOffset>
                </wp:positionV>
                <wp:extent cx="417195" cy="2190750"/>
                <wp:effectExtent l="0" t="0" r="1905"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 cy="2190750"/>
                        </a:xfrm>
                        <a:prstGeom prst="rect">
                          <a:avLst/>
                        </a:prstGeom>
                        <a:solidFill>
                          <a:schemeClr val="tx1">
                            <a:lumMod val="75000"/>
                            <a:lumOff val="25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rect w14:anchorId="3CB59455" id="Rectangle 9" o:spid="_x0000_s1026" style="position:absolute;margin-left:21pt;margin-top:500.15pt;width:32.85pt;height:172.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" fillcolor="#404040 [2429]" stroked="f">
                <w10:wrap anchorx="margin"/>
              </v:rect>
            </w:pict>
          </mc:Fallback>
        </mc:AlternateContent>
      </w:r>
      <w:r w:rsidRPr="005749E8">
        <w:rPr>
          <w:rFonts w:asciiTheme="minorHAnsi" w:hAnsiTheme="minorHAnsi"/>
          <w:noProof/>
          <w:sz w:val="22"/>
        </w:rPr>
        <mc:AlternateContent>
          <mc:Choice Requires="wps">
            <w:drawing>
              <wp:anchor distT="45720" distB="45720" distL="114300" distR="114300" simplePos="0" relativeHeight="251667456" behindDoc="0" locked="0" layoutInCell="1" allowOverlap="1" wp14:anchorId="2EC84143" wp14:editId="537C6228">
                <wp:simplePos x="0" y="0"/>
                <wp:positionH relativeFrom="margin">
                  <wp:align>left</wp:align>
                </wp:positionH>
                <wp:positionV relativeFrom="margin">
                  <wp:posOffset>1539240</wp:posOffset>
                </wp:positionV>
                <wp:extent cx="601980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alpha val="0"/>
                          </a:srgbClr>
                        </a:solidFill>
                        <a:ln w="9525">
                          <a:noFill/>
                          <a:miter lim="800000"/>
                          <a:headEnd/>
                          <a:tailEnd/>
                        </a:ln>
                      </wps:spPr>
                      <wps:txbx>
                        <w:txbxContent>
                          <w:p w14:paraId="4B141A33" w14:textId="77777777" w:rsidR="00D859F7" w:rsidRPr="005749E8" w:rsidRDefault="00D859F7" w:rsidP="00D859F7">
                            <w:pPr>
                              <w:spacing w:line="240" w:lineRule="auto"/>
                              <w:jc w:val="center"/>
                              <w:rPr>
                                <w:rFonts w:asciiTheme="minorHAnsi" w:hAnsiTheme="minorHAnsi" w:cstheme="minorHAnsi"/>
                                <w:color w:val="000000" w:themeColor="text1"/>
                                <w:sz w:val="72"/>
                                <w:szCs w:val="72"/>
                              </w:rPr>
                            </w:pPr>
                            <w:r w:rsidRPr="005749E8">
                              <w:rPr>
                                <w:rFonts w:asciiTheme="minorHAnsi" w:hAnsiTheme="minorHAnsi" w:cstheme="minorHAnsi"/>
                                <w:color w:val="000000" w:themeColor="text1"/>
                                <w:sz w:val="56"/>
                                <w:szCs w:val="56"/>
                              </w:rPr>
                              <w:t>AN</w:t>
                            </w:r>
                          </w:p>
                          <w:p w14:paraId="5D3DED25" w14:textId="77777777" w:rsidR="00D859F7" w:rsidRPr="005749E8" w:rsidRDefault="00D859F7" w:rsidP="00D859F7">
                            <w:pPr>
                              <w:spacing w:line="240" w:lineRule="auto"/>
                              <w:jc w:val="center"/>
                              <w:rPr>
                                <w:rFonts w:asciiTheme="minorHAnsi" w:hAnsiTheme="minorHAnsi" w:cstheme="minorHAnsi"/>
                                <w:b/>
                                <w:bCs/>
                                <w:color w:val="000000" w:themeColor="text1"/>
                                <w:spacing w:val="600"/>
                                <w:sz w:val="180"/>
                                <w:szCs w:val="180"/>
                              </w:rPr>
                            </w:pPr>
                            <w:r w:rsidRPr="005749E8">
                              <w:rPr>
                                <w:rFonts w:asciiTheme="minorHAnsi" w:hAnsiTheme="minorHAnsi" w:cstheme="minorHAnsi"/>
                                <w:b/>
                                <w:bCs/>
                                <w:color w:val="000000" w:themeColor="text1"/>
                                <w:spacing w:val="600"/>
                                <w:sz w:val="180"/>
                                <w:szCs w:val="180"/>
                              </w:rPr>
                              <w:t>ESSAY</w:t>
                            </w:r>
                          </w:p>
                          <w:p w14:paraId="2BBF7D62" w14:textId="77777777" w:rsidR="00D859F7" w:rsidRPr="005749E8" w:rsidRDefault="00D859F7" w:rsidP="00D859F7">
                            <w:pPr>
                              <w:spacing w:line="276" w:lineRule="auto"/>
                              <w:jc w:val="center"/>
                              <w:rPr>
                                <w:rFonts w:asciiTheme="minorHAnsi" w:hAnsiTheme="minorHAnsi" w:cstheme="minorHAnsi"/>
                                <w:color w:val="000000" w:themeColor="text1"/>
                                <w:spacing w:val="600"/>
                                <w:sz w:val="160"/>
                                <w:szCs w:val="160"/>
                              </w:rPr>
                            </w:pPr>
                            <w:r w:rsidRPr="005749E8">
                              <w:rPr>
                                <w:rFonts w:asciiTheme="minorHAnsi" w:hAnsiTheme="minorHAnsi" w:cstheme="minorHAnsi"/>
                                <w:color w:val="000000" w:themeColor="text1"/>
                                <w:sz w:val="56"/>
                                <w:szCs w:val="56"/>
                              </w:rPr>
                              <w:t>CONCERNING</w:t>
                            </w:r>
                          </w:p>
                          <w:p w14:paraId="6C39E361" w14:textId="77777777" w:rsidR="00D859F7" w:rsidRPr="005749E8" w:rsidRDefault="00D859F7" w:rsidP="00D859F7">
                            <w:pPr>
                              <w:spacing w:line="276" w:lineRule="auto"/>
                              <w:jc w:val="center"/>
                              <w:rPr>
                                <w:rFonts w:asciiTheme="minorHAnsi" w:hAnsiTheme="minorHAnsi" w:cstheme="minorHAnsi"/>
                                <w:b/>
                                <w:bCs/>
                                <w:color w:val="105692"/>
                                <w:sz w:val="72"/>
                                <w:szCs w:val="72"/>
                              </w:rPr>
                            </w:pPr>
                            <w:r w:rsidRPr="005749E8">
                              <w:rPr>
                                <w:rFonts w:asciiTheme="minorHAnsi" w:hAnsiTheme="minorHAnsi" w:cstheme="minorHAnsi"/>
                                <w:b/>
                                <w:bCs/>
                                <w:color w:val="105692"/>
                                <w:sz w:val="72"/>
                                <w:szCs w:val="72"/>
                              </w:rPr>
                              <w:t xml:space="preserve">Pharmacy Benefit Managers </w:t>
                            </w:r>
                          </w:p>
                          <w:p w14:paraId="03D4E4B9" w14:textId="4E5E9702" w:rsidR="00D859F7" w:rsidRPr="005749E8" w:rsidRDefault="00D859F7" w:rsidP="00D859F7">
                            <w:pPr>
                              <w:spacing w:line="276" w:lineRule="auto"/>
                              <w:jc w:val="center"/>
                              <w:rPr>
                                <w:rFonts w:asciiTheme="minorHAnsi" w:hAnsiTheme="minorHAnsi" w:cstheme="minorHAnsi"/>
                                <w:color w:val="404040" w:themeColor="text1" w:themeTint="BF"/>
                                <w:spacing w:val="100"/>
                                <w:sz w:val="36"/>
                                <w:szCs w:val="36"/>
                              </w:rPr>
                            </w:pPr>
                            <w:r w:rsidRPr="005749E8">
                              <w:rPr>
                                <w:rFonts w:asciiTheme="minorHAnsi" w:hAnsiTheme="minorHAnsi" w:cstheme="minorHAnsi"/>
                                <w:color w:val="404040" w:themeColor="text1" w:themeTint="BF"/>
                                <w:spacing w:val="100"/>
                                <w:sz w:val="36"/>
                                <w:szCs w:val="36"/>
                              </w:rPr>
                              <w:t>11.</w:t>
                            </w:r>
                            <w:r w:rsidR="00BD1B46">
                              <w:rPr>
                                <w:rFonts w:asciiTheme="minorHAnsi" w:hAnsiTheme="minorHAnsi" w:cstheme="minorHAnsi"/>
                                <w:color w:val="404040" w:themeColor="text1" w:themeTint="BF"/>
                                <w:spacing w:val="100"/>
                                <w:sz w:val="36"/>
                                <w:szCs w:val="36"/>
                              </w:rPr>
                              <w:t>30</w:t>
                            </w:r>
                            <w:r w:rsidRPr="005749E8">
                              <w:rPr>
                                <w:rFonts w:asciiTheme="minorHAnsi" w:hAnsiTheme="minorHAnsi" w:cstheme="minorHAnsi"/>
                                <w:color w:val="404040" w:themeColor="text1" w:themeTint="BF"/>
                                <w:spacing w:val="100"/>
                                <w:sz w:val="36"/>
                                <w:szCs w:val="36"/>
                              </w:rPr>
                              <w:t>.2020</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EC84143" id="Text Box 2" o:spid="_x0000_s1029" type="#_x0000_t202" style="position:absolute;margin-left:0;margin-top:121.2pt;width:474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" stroked="f">
                <v:fill opacity="0"/>
                <v:textbox style="mso-fit-shape-to-text:t">
                  <w:txbxContent>
                    <w:p w14:paraId="4B141A33" w14:textId="77777777" w:rsidR="00D859F7" w:rsidRPr="005749E8" w:rsidRDefault="00D859F7" w:rsidP="00D859F7">
                      <w:pPr>
                        <w:spacing w:line="240" w:lineRule="auto"/>
                        <w:jc w:val="center"/>
                        <w:rPr>
                          <w:rFonts w:asciiTheme="minorHAnsi" w:hAnsiTheme="minorHAnsi" w:cstheme="minorHAnsi"/>
                          <w:color w:val="000000" w:themeColor="text1"/>
                          <w:sz w:val="72"/>
                          <w:szCs w:val="72"/>
                        </w:rPr>
                      </w:pPr>
                      <w:r w:rsidRPr="005749E8">
                        <w:rPr>
                          <w:rFonts w:asciiTheme="minorHAnsi" w:hAnsiTheme="minorHAnsi" w:cstheme="minorHAnsi"/>
                          <w:color w:val="000000" w:themeColor="text1"/>
                          <w:sz w:val="56"/>
                          <w:szCs w:val="56"/>
                        </w:rPr>
                        <w:t>AN</w:t>
                      </w:r>
                    </w:p>
                    <w:p w14:paraId="5D3DED25" w14:textId="77777777" w:rsidR="00D859F7" w:rsidRPr="005749E8" w:rsidRDefault="00D859F7" w:rsidP="00D859F7">
                      <w:pPr>
                        <w:spacing w:line="240" w:lineRule="auto"/>
                        <w:jc w:val="center"/>
                        <w:rPr>
                          <w:rFonts w:asciiTheme="minorHAnsi" w:hAnsiTheme="minorHAnsi" w:cstheme="minorHAnsi"/>
                          <w:b/>
                          <w:bCs/>
                          <w:color w:val="000000" w:themeColor="text1"/>
                          <w:spacing w:val="600"/>
                          <w:sz w:val="180"/>
                          <w:szCs w:val="180"/>
                        </w:rPr>
                      </w:pPr>
                      <w:r w:rsidRPr="005749E8">
                        <w:rPr>
                          <w:rFonts w:asciiTheme="minorHAnsi" w:hAnsiTheme="minorHAnsi" w:cstheme="minorHAnsi"/>
                          <w:b/>
                          <w:bCs/>
                          <w:color w:val="000000" w:themeColor="text1"/>
                          <w:spacing w:val="600"/>
                          <w:sz w:val="180"/>
                          <w:szCs w:val="180"/>
                        </w:rPr>
                        <w:t>ESSAY</w:t>
                      </w:r>
                    </w:p>
                    <w:p w14:paraId="2BBF7D62" w14:textId="77777777" w:rsidR="00D859F7" w:rsidRPr="005749E8" w:rsidRDefault="00D859F7" w:rsidP="00D859F7">
                      <w:pPr>
                        <w:spacing w:line="276" w:lineRule="auto"/>
                        <w:jc w:val="center"/>
                        <w:rPr>
                          <w:rFonts w:asciiTheme="minorHAnsi" w:hAnsiTheme="minorHAnsi" w:cstheme="minorHAnsi"/>
                          <w:color w:val="000000" w:themeColor="text1"/>
                          <w:spacing w:val="600"/>
                          <w:sz w:val="160"/>
                          <w:szCs w:val="160"/>
                        </w:rPr>
                      </w:pPr>
                      <w:r w:rsidRPr="005749E8">
                        <w:rPr>
                          <w:rFonts w:asciiTheme="minorHAnsi" w:hAnsiTheme="minorHAnsi" w:cstheme="minorHAnsi"/>
                          <w:color w:val="000000" w:themeColor="text1"/>
                          <w:sz w:val="56"/>
                          <w:szCs w:val="56"/>
                        </w:rPr>
                        <w:t>CONCERNING</w:t>
                      </w:r>
                    </w:p>
                    <w:p w14:paraId="6C39E361" w14:textId="77777777" w:rsidR="00D859F7" w:rsidRPr="005749E8" w:rsidRDefault="00D859F7" w:rsidP="00D859F7">
                      <w:pPr>
                        <w:spacing w:line="276" w:lineRule="auto"/>
                        <w:jc w:val="center"/>
                        <w:rPr>
                          <w:rFonts w:asciiTheme="minorHAnsi" w:hAnsiTheme="minorHAnsi" w:cstheme="minorHAnsi"/>
                          <w:b/>
                          <w:bCs/>
                          <w:color w:val="105692"/>
                          <w:sz w:val="72"/>
                          <w:szCs w:val="72"/>
                        </w:rPr>
                      </w:pPr>
                      <w:r w:rsidRPr="005749E8">
                        <w:rPr>
                          <w:rFonts w:asciiTheme="minorHAnsi" w:hAnsiTheme="minorHAnsi" w:cstheme="minorHAnsi"/>
                          <w:b/>
                          <w:bCs/>
                          <w:color w:val="105692"/>
                          <w:sz w:val="72"/>
                          <w:szCs w:val="72"/>
                        </w:rPr>
                        <w:t xml:space="preserve">Pharmacy Benefit Managers </w:t>
                      </w:r>
                    </w:p>
                    <w:p w14:paraId="03D4E4B9" w14:textId="4E5E9702" w:rsidR="00D859F7" w:rsidRPr="005749E8" w:rsidRDefault="00D859F7" w:rsidP="00D859F7">
                      <w:pPr>
                        <w:spacing w:line="276" w:lineRule="auto"/>
                        <w:jc w:val="center"/>
                        <w:rPr>
                          <w:rFonts w:asciiTheme="minorHAnsi" w:hAnsiTheme="minorHAnsi" w:cstheme="minorHAnsi"/>
                          <w:color w:val="404040" w:themeColor="text1" w:themeTint="BF"/>
                          <w:spacing w:val="100"/>
                          <w:sz w:val="36"/>
                          <w:szCs w:val="36"/>
                        </w:rPr>
                      </w:pPr>
                      <w:r w:rsidRPr="005749E8">
                        <w:rPr>
                          <w:rFonts w:asciiTheme="minorHAnsi" w:hAnsiTheme="minorHAnsi" w:cstheme="minorHAnsi"/>
                          <w:color w:val="404040" w:themeColor="text1" w:themeTint="BF"/>
                          <w:spacing w:val="100"/>
                          <w:sz w:val="36"/>
                          <w:szCs w:val="36"/>
                        </w:rPr>
                        <w:t>11.</w:t>
                      </w:r>
                      <w:r w:rsidR="00BD1B46">
                        <w:rPr>
                          <w:rFonts w:asciiTheme="minorHAnsi" w:hAnsiTheme="minorHAnsi" w:cstheme="minorHAnsi"/>
                          <w:color w:val="404040" w:themeColor="text1" w:themeTint="BF"/>
                          <w:spacing w:val="100"/>
                          <w:sz w:val="36"/>
                          <w:szCs w:val="36"/>
                        </w:rPr>
                        <w:t>30</w:t>
                      </w:r>
                      <w:r w:rsidRPr="005749E8">
                        <w:rPr>
                          <w:rFonts w:asciiTheme="minorHAnsi" w:hAnsiTheme="minorHAnsi" w:cstheme="minorHAnsi"/>
                          <w:color w:val="404040" w:themeColor="text1" w:themeTint="BF"/>
                          <w:spacing w:val="100"/>
                          <w:sz w:val="36"/>
                          <w:szCs w:val="36"/>
                        </w:rPr>
                        <w:t>.2020</w:t>
                      </w:r>
                    </w:p>
                  </w:txbxContent>
                </v:textbox>
                <w10:wrap type="square" anchorx="margin" anchory="margin"/>
              </v:shape>
            </w:pict>
          </mc:Fallback>
        </mc:AlternateContent>
      </w:r>
    </w:p>
    <w:p w14:paraId="52205AA0" w14:textId="70D71AF8" w:rsidR="00D859F7" w:rsidRDefault="00D859F7" w:rsidP="005749E8"/>
    <w:p w14:paraId="073283CC" w14:textId="37F6EB92" w:rsidR="00D859F7" w:rsidRDefault="00D859F7" w:rsidP="005749E8"/>
    <w:p w14:paraId="16B81E4D" w14:textId="306F36C8" w:rsidR="00D859F7" w:rsidRDefault="00D859F7" w:rsidP="005749E8"/>
    <w:p w14:paraId="65DACDB0" w14:textId="00C64CBB" w:rsidR="00D859F7" w:rsidRDefault="00D859F7" w:rsidP="00D859F7">
      <w:pPr>
        <w:pStyle w:val="Heading1"/>
      </w:pPr>
      <w:r>
        <w:br w:type="page"/>
      </w:r>
      <w:r w:rsidRPr="00D859F7">
        <w:lastRenderedPageBreak/>
        <w:t>The Power of the Purchase:</w:t>
      </w:r>
    </w:p>
    <w:p w14:paraId="527A5A6E" w14:textId="77777777" w:rsidR="00D859F7" w:rsidRPr="00D859F7" w:rsidRDefault="00D859F7" w:rsidP="00D859F7">
      <w:pPr>
        <w:spacing w:line="240" w:lineRule="auto"/>
        <w:jc w:val="center"/>
        <w:rPr>
          <w:b/>
          <w:bCs/>
          <w:sz w:val="32"/>
          <w:szCs w:val="28"/>
        </w:rPr>
      </w:pPr>
    </w:p>
    <w:p w14:paraId="35956316" w14:textId="6E3805CB" w:rsidR="00D859F7" w:rsidRPr="00D859F7" w:rsidRDefault="00D859F7" w:rsidP="00D859F7">
      <w:pPr>
        <w:pStyle w:val="Heading1"/>
      </w:pPr>
      <w:r w:rsidRPr="00D859F7">
        <w:t>How Lehigh County Can Support Small Businesses, Reform the Healthcare System Locally and Stand Up to Pharmacy Benefit Managers</w:t>
      </w:r>
    </w:p>
    <w:p w14:paraId="76433C0C" w14:textId="0C638994" w:rsidR="00D859F7" w:rsidRDefault="00D859F7" w:rsidP="00D859F7"/>
    <w:p w14:paraId="61A1B7EC" w14:textId="7F7C89A5" w:rsidR="00D859F7" w:rsidRDefault="00D859F7" w:rsidP="00D859F7"/>
    <w:p w14:paraId="51E804D8" w14:textId="07C572BB" w:rsidR="00D859F7" w:rsidRPr="00D859F7" w:rsidRDefault="00D859F7" w:rsidP="00D859F7">
      <w:pPr>
        <w:ind w:firstLine="720"/>
      </w:pPr>
      <w:bookmarkStart w:id="0" w:name="_Hlk56001843"/>
      <w:r w:rsidRPr="00D859F7">
        <w:t>State and local governments spend a significant sum of tax revenue on healthcare, putting increased pressure on their budgets and often sending local tax dollars well outside their own boundaries.  Over the last 25 years, the amount of state and local government spending has nearly doubled, rising to $475 billion.  This amounts to 18% of national healthcare consumption, 2</w:t>
      </w:r>
      <w:r w:rsidR="00CD1AFA">
        <w:t>4</w:t>
      </w:r>
      <w:r w:rsidRPr="00D859F7">
        <w:t>% of total state and local spending and 35% of all state and local tax revenue according to the Brookings Institution.</w:t>
      </w:r>
      <w:r w:rsidR="00BA2BB5">
        <w:rPr>
          <w:rStyle w:val="FootnoteReference"/>
        </w:rPr>
        <w:footnoteReference w:id="1"/>
      </w:r>
    </w:p>
    <w:p w14:paraId="4D0EADBB" w14:textId="4B90CD1C" w:rsidR="00D859F7" w:rsidRPr="00D859F7" w:rsidRDefault="00D859F7" w:rsidP="00D859F7">
      <w:pPr>
        <w:ind w:firstLine="720"/>
      </w:pPr>
      <w:r w:rsidRPr="00D859F7">
        <w:t>This trend shows no signs of abating with state and local government spending expected to nearly double as a share of the economy overall by 2060 according to Pew Trusts.</w:t>
      </w:r>
      <w:r w:rsidR="00BA2BB5">
        <w:rPr>
          <w:rStyle w:val="FootnoteReference"/>
        </w:rPr>
        <w:footnoteReference w:id="2"/>
      </w:r>
      <w:r w:rsidRPr="00D859F7">
        <w:t xml:space="preserve">  This will place even greater downward pressure on local budgets and force governments to make even tougher decisions about allocation of increasingly </w:t>
      </w:r>
      <w:r w:rsidR="00666EC2" w:rsidRPr="00D859F7">
        <w:t>scarce</w:t>
      </w:r>
      <w:r w:rsidRPr="00D859F7">
        <w:t xml:space="preserve"> resources. </w:t>
      </w:r>
    </w:p>
    <w:p w14:paraId="2D425907" w14:textId="77777777" w:rsidR="00BA2BB5" w:rsidRDefault="00D859F7" w:rsidP="00D859F7">
      <w:pPr>
        <w:ind w:firstLine="720"/>
      </w:pPr>
      <w:r w:rsidRPr="00D859F7">
        <w:t xml:space="preserve">At the epicenter of these rise in prices is a middleman industry you’ve never heard of that is more profitable than Disney and wields more influence over the drugs you take than your own doctor.  </w:t>
      </w:r>
    </w:p>
    <w:p w14:paraId="6ED7CE49" w14:textId="279DB687" w:rsidR="000C5778" w:rsidRDefault="00D859F7" w:rsidP="00D859F7">
      <w:pPr>
        <w:ind w:firstLine="720"/>
      </w:pPr>
      <w:r w:rsidRPr="00D859F7">
        <w:lastRenderedPageBreak/>
        <w:t>Pharmacy Benefit Managers (PBMs) are middlemen that manage prescription drug benefits on behalf of health insurers</w:t>
      </w:r>
      <w:r w:rsidR="00D2501D">
        <w:t xml:space="preserve">, and </w:t>
      </w:r>
      <w:r w:rsidRPr="00D859F7">
        <w:t>have a significant impact on the cost of drugs.</w:t>
      </w:r>
    </w:p>
    <w:p w14:paraId="74BB05D2" w14:textId="706F8D11" w:rsidR="00D859F7" w:rsidRPr="00D859F7" w:rsidRDefault="00D859F7" w:rsidP="00D859F7">
      <w:pPr>
        <w:ind w:firstLine="720"/>
      </w:pPr>
      <w:r w:rsidRPr="00D859F7">
        <w:t>According to the</w:t>
      </w:r>
      <w:r w:rsidR="00121740">
        <w:t xml:space="preserve"> Pennsylvania Pharmacists Association</w:t>
      </w:r>
      <w:r w:rsidRPr="00D859F7">
        <w:t>, PBM’s are part of the reason drug prices have risen 1010% since 1987.  To get an idea of scale, two major PBMs Express Scripts and CVS Health which owns the chain store pharmacy CVS are worth $278 billion dollars, while Disney is worth $55</w:t>
      </w:r>
      <w:r w:rsidR="00F85E5B">
        <w:t xml:space="preserve"> billion</w:t>
      </w:r>
      <w:r w:rsidRPr="00D859F7">
        <w:t>.</w:t>
      </w:r>
      <w:r w:rsidR="00477346">
        <w:rPr>
          <w:rStyle w:val="FootnoteReference"/>
        </w:rPr>
        <w:footnoteReference w:id="3"/>
      </w:r>
    </w:p>
    <w:p w14:paraId="45DB44FF" w14:textId="78D7A572" w:rsidR="00D859F7" w:rsidRPr="009A2111" w:rsidRDefault="00D859F7" w:rsidP="00D859F7">
      <w:pPr>
        <w:ind w:firstLine="720"/>
        <w:rPr>
          <w:strike/>
        </w:rPr>
      </w:pPr>
      <w:r w:rsidRPr="00D859F7">
        <w:t>These unseen middlemen are deciding which drugs you have access to. They’re making that decision based on a combination of clinical data and a financial reimbursement scheme provided by pharmaceutical companies.  PBM’s create formularies which essentially rank medications into 4 therapeutic tiers, with Tier 1</w:t>
      </w:r>
      <w:r w:rsidR="005F7742">
        <w:t>often</w:t>
      </w:r>
      <w:r w:rsidRPr="00D859F7">
        <w:t xml:space="preserve"> consisting of generic drugs at little to no cost and Tier 4 </w:t>
      </w:r>
      <w:r w:rsidRPr="009A2111">
        <w:t>being the most expensiv</w:t>
      </w:r>
      <w:r w:rsidR="005F7742">
        <w:t>e.</w:t>
      </w:r>
      <w:r w:rsidR="005F7742">
        <w:rPr>
          <w:rStyle w:val="FootnoteReference"/>
        </w:rPr>
        <w:footnoteReference w:id="4"/>
      </w:r>
    </w:p>
    <w:p w14:paraId="639DD328" w14:textId="11C5E7F3" w:rsidR="00CB589E" w:rsidRDefault="00D859F7" w:rsidP="00D859F7">
      <w:pPr>
        <w:ind w:firstLine="720"/>
      </w:pPr>
      <w:r w:rsidRPr="00D859F7">
        <w:t>PBMs will regularly accept rebates or reimbursements for drug costs from pharmaceutical companies enabling them to move their drug to a lower Tier</w:t>
      </w:r>
      <w:r w:rsidR="005F7742">
        <w:t xml:space="preserve">.  </w:t>
      </w:r>
      <w:r w:rsidRPr="00D859F7">
        <w:t>This results in a lower co-payment, but often higher expenses for the insurer who pays for the drug. It is important to note that while the co-pay may go be reduced, the true cost of the medication is hidden from the patient. The insurer (in our case Lehigh County) pays for the majority of the cost of the medication.</w:t>
      </w:r>
      <w:bookmarkEnd w:id="0"/>
      <w:r w:rsidR="003F2A95">
        <w:rPr>
          <w:rStyle w:val="FootnoteReference"/>
        </w:rPr>
        <w:footnoteReference w:id="5"/>
      </w:r>
    </w:p>
    <w:p w14:paraId="0D65FD4D" w14:textId="449C98C8" w:rsidR="000C5778" w:rsidRDefault="00D859F7" w:rsidP="00D859F7">
      <w:pPr>
        <w:ind w:firstLine="720"/>
      </w:pPr>
      <w:r w:rsidRPr="00D859F7">
        <w:lastRenderedPageBreak/>
        <w:t xml:space="preserve">PBM’s are plagued by a lack of transparency and hold tremendous, unchecked power </w:t>
      </w:r>
      <w:r w:rsidR="002414A9">
        <w:t>o</w:t>
      </w:r>
      <w:r w:rsidR="002414A9" w:rsidRPr="00D859F7">
        <w:t>ver</w:t>
      </w:r>
      <w:r w:rsidRPr="00D859F7">
        <w:t xml:space="preserve"> the healthcare markets.  While in theory the manufacturer rebates should translate to savings for the insurer or the patient, PBM’s can choose to keep as much of the rebate as they want adding to their profit.</w:t>
      </w:r>
      <w:r w:rsidR="004317DE">
        <w:rPr>
          <w:rStyle w:val="FootnoteReference"/>
        </w:rPr>
        <w:footnoteReference w:id="6"/>
      </w:r>
    </w:p>
    <w:p w14:paraId="430C62FE" w14:textId="2675E665" w:rsidR="00D859F7" w:rsidRPr="00D859F7" w:rsidRDefault="00D859F7" w:rsidP="00D859F7">
      <w:pPr>
        <w:ind w:firstLine="720"/>
      </w:pPr>
      <w:r w:rsidRPr="00D859F7">
        <w:t xml:space="preserve">Their power has been most felt by independent pharmacies, small businesses that often serve rural communities and provide tailored care to their customers.  In the last </w:t>
      </w:r>
      <w:r w:rsidR="00CB589E">
        <w:t>fifteen</w:t>
      </w:r>
      <w:r w:rsidRPr="00D859F7">
        <w:t xml:space="preserve"> years, roughly 16% of independent pharmacies have shutdown.</w:t>
      </w:r>
      <w:r w:rsidR="00EE51AA" w:rsidRPr="00EE51AA">
        <w:rPr>
          <w:rStyle w:val="FootnoteReference"/>
        </w:rPr>
        <w:t xml:space="preserve"> </w:t>
      </w:r>
      <w:r w:rsidR="00EE51AA">
        <w:rPr>
          <w:rStyle w:val="FootnoteReference"/>
        </w:rPr>
        <w:footnoteReference w:id="7"/>
      </w:r>
      <w:r w:rsidRPr="00D859F7">
        <w:t xml:space="preserve"> These are locally-run, family-owned pharmacies are often the sole means of receiving drugs, vaccinations and personalized medical care in many rural communities.</w:t>
      </w:r>
    </w:p>
    <w:p w14:paraId="4D3E7C52" w14:textId="6ACE79D2" w:rsidR="00D859F7" w:rsidRPr="00D859F7" w:rsidRDefault="00D859F7" w:rsidP="00D859F7">
      <w:pPr>
        <w:ind w:firstLine="720"/>
      </w:pPr>
      <w:r w:rsidRPr="00D859F7">
        <w:t>This has led to the proliferation of so-called pharmacy deserts which according to the Institute for Local Self-Reliance stated impacts both rural an</w:t>
      </w:r>
      <w:r w:rsidR="00CB589E">
        <w:t>d small cities</w:t>
      </w:r>
      <w:r w:rsidRPr="00D859F7">
        <w:t>.</w:t>
      </w:r>
      <w:r w:rsidR="00EE51AA" w:rsidRPr="00EE51AA">
        <w:rPr>
          <w:rStyle w:val="FootnoteReference"/>
        </w:rPr>
        <w:t xml:space="preserve"> </w:t>
      </w:r>
      <w:r w:rsidR="00EE51AA">
        <w:rPr>
          <w:rStyle w:val="FootnoteReference"/>
        </w:rPr>
        <w:footnoteReference w:id="8"/>
      </w:r>
      <w:r w:rsidRPr="00D859F7">
        <w:t xml:space="preserve">  This means that many low-income Americans in cities are rural areas are increasingly cut-off from high quality and personalized care that is provided by independent pharmacies.</w:t>
      </w:r>
    </w:p>
    <w:p w14:paraId="776607A9" w14:textId="706A17D0" w:rsidR="00933793" w:rsidRDefault="00D859F7" w:rsidP="00D859F7">
      <w:pPr>
        <w:ind w:firstLine="720"/>
      </w:pPr>
      <w:r w:rsidRPr="00D859F7">
        <w:t xml:space="preserve">A 2018 Consumer Reports evaluation of customer preferences found that consumers </w:t>
      </w:r>
      <w:r w:rsidR="00CB589E">
        <w:t xml:space="preserve">gave high scores to </w:t>
      </w:r>
      <w:r w:rsidRPr="00D859F7">
        <w:t xml:space="preserve">independent pharmacies.  The report acknowledged that independent pharmacies were deemed more courteous, </w:t>
      </w:r>
      <w:r w:rsidR="00CB589E">
        <w:t>helpful</w:t>
      </w:r>
      <w:r w:rsidRPr="00D859F7">
        <w:t xml:space="preserve"> and pharmacists had more knowledge and accuracy.</w:t>
      </w:r>
      <w:r w:rsidR="00566B43">
        <w:rPr>
          <w:rStyle w:val="FootnoteReference"/>
        </w:rPr>
        <w:footnoteReference w:id="9"/>
      </w:r>
    </w:p>
    <w:p w14:paraId="71949D54" w14:textId="77777777" w:rsidR="00933793" w:rsidRDefault="00933793" w:rsidP="00D859F7">
      <w:pPr>
        <w:ind w:firstLine="720"/>
      </w:pPr>
    </w:p>
    <w:p w14:paraId="797BAC03" w14:textId="2040D0BD" w:rsidR="00D859F7" w:rsidRPr="00D859F7" w:rsidRDefault="00D859F7" w:rsidP="00D859F7">
      <w:pPr>
        <w:ind w:firstLine="720"/>
      </w:pPr>
      <w:r w:rsidRPr="00D859F7">
        <w:t>Right now, the Pharmacy Benefit Managers that Lehigh County contracts with operate their own mail service pharmacy that directly compete with independent pharmacies.  Lehigh County’s employees could be incentivized to order or use local pharmacies that directly serve</w:t>
      </w:r>
      <w:r w:rsidR="00933793">
        <w:t xml:space="preserve"> </w:t>
      </w:r>
      <w:r w:rsidRPr="00D859F7">
        <w:t>their local community or continue to use express scripts operated by a multi-billion-dollar corporation.</w:t>
      </w:r>
    </w:p>
    <w:p w14:paraId="5E969A5A" w14:textId="1E609338" w:rsidR="000C5778" w:rsidRDefault="00D859F7" w:rsidP="004317DE">
      <w:pPr>
        <w:ind w:firstLine="720"/>
      </w:pPr>
      <w:r w:rsidRPr="00D859F7">
        <w:t>Fortunately, there are a number of things that Lehigh County and the State of Pennsylvania could undertake to better protect patients and consumers, while supporting small businesses and saving money.</w:t>
      </w:r>
      <w:r w:rsidR="00A27A5D">
        <w:t xml:space="preserve">  </w:t>
      </w:r>
    </w:p>
    <w:p w14:paraId="79FC8BEE" w14:textId="77777777" w:rsidR="0031060F" w:rsidRPr="004317DE" w:rsidRDefault="0031060F" w:rsidP="004317DE">
      <w:pPr>
        <w:ind w:firstLine="720"/>
      </w:pPr>
    </w:p>
    <w:p w14:paraId="2F75605B" w14:textId="61358E07" w:rsidR="00D859F7" w:rsidRPr="0068372A" w:rsidRDefault="00D859F7" w:rsidP="00810D39">
      <w:pPr>
        <w:pStyle w:val="Heading2"/>
        <w:rPr>
          <w:b/>
          <w:bCs/>
        </w:rPr>
      </w:pPr>
      <w:r w:rsidRPr="0068372A">
        <w:rPr>
          <w:b/>
          <w:bCs/>
        </w:rPr>
        <w:t xml:space="preserve">Local </w:t>
      </w:r>
      <w:r w:rsidR="0068372A" w:rsidRPr="0068372A">
        <w:rPr>
          <w:b/>
          <w:bCs/>
        </w:rPr>
        <w:t>Recommendations</w:t>
      </w:r>
    </w:p>
    <w:p w14:paraId="44FE4A51" w14:textId="6D6481F8" w:rsidR="00D859F7" w:rsidRDefault="00D859F7" w:rsidP="00F70763">
      <w:pPr>
        <w:pStyle w:val="ListParagraph"/>
        <w:numPr>
          <w:ilvl w:val="0"/>
          <w:numId w:val="5"/>
        </w:numPr>
      </w:pPr>
      <w:r w:rsidRPr="00D859F7">
        <w:t>Lehigh County</w:t>
      </w:r>
      <w:r w:rsidR="000D335F">
        <w:t xml:space="preserve"> currently gives preferential treatment to a</w:t>
      </w:r>
      <w:r w:rsidR="0068372A">
        <w:t xml:space="preserve"> single </w:t>
      </w:r>
      <w:r w:rsidR="000D335F">
        <w:t>pharmacy</w:t>
      </w:r>
      <w:r w:rsidR="0068372A">
        <w:t xml:space="preserve"> by mail company</w:t>
      </w:r>
      <w:r w:rsidR="000D335F">
        <w:t>. This pharmacy exists outside of the county. This arrangement takes tax payer money which could be spent within the county and spends it with a third party outside the county. The Lehigh County Government should evaluate if local independent pharmacies can match the pricing that is provided by the pharmacy by mail. If the costs are comparable or less</w:t>
      </w:r>
      <w:r w:rsidR="0068372A">
        <w:t>,</w:t>
      </w:r>
      <w:r w:rsidR="000D335F">
        <w:t xml:space="preserve"> than the county should give preferential treatment to local independent pharmacies that keep tax payer money inside the county. </w:t>
      </w:r>
      <w:r w:rsidRPr="00D859F7">
        <w:t xml:space="preserve">Lehigh County </w:t>
      </w:r>
      <w:r w:rsidR="000D335F">
        <w:t>Government would then be h</w:t>
      </w:r>
      <w:r w:rsidRPr="00D859F7">
        <w:t>arness</w:t>
      </w:r>
      <w:r w:rsidR="000D335F">
        <w:t>ing</w:t>
      </w:r>
      <w:r w:rsidRPr="00D859F7">
        <w:t xml:space="preserve"> its purchasing power to support local small businesses over massive corporate chains.</w:t>
      </w:r>
    </w:p>
    <w:p w14:paraId="3932338E" w14:textId="68911954" w:rsidR="00933793" w:rsidRDefault="00933793" w:rsidP="00933793"/>
    <w:p w14:paraId="21858CB3" w14:textId="77777777" w:rsidR="0031060F" w:rsidRPr="00D859F7" w:rsidRDefault="0031060F" w:rsidP="00933793"/>
    <w:p w14:paraId="6A75D54C" w14:textId="4F34F218" w:rsidR="00D859F7" w:rsidRDefault="0068372A" w:rsidP="00F70763">
      <w:pPr>
        <w:pStyle w:val="ListParagraph"/>
        <w:numPr>
          <w:ilvl w:val="0"/>
          <w:numId w:val="5"/>
        </w:numPr>
      </w:pPr>
      <w:r>
        <w:lastRenderedPageBreak/>
        <w:t>Lehigh County</w:t>
      </w:r>
      <w:r w:rsidR="00D859F7" w:rsidRPr="00D859F7">
        <w:t xml:space="preserve"> could add a provision</w:t>
      </w:r>
      <w:r w:rsidR="0031060F">
        <w:t xml:space="preserve"> in our vendor contract</w:t>
      </w:r>
      <w:r w:rsidR="00D859F7" w:rsidRPr="00D859F7">
        <w:t xml:space="preserve"> that prevents PBMs from unfairly compensating local pharmacies.  </w:t>
      </w:r>
      <w:r>
        <w:t xml:space="preserve">Based on our research </w:t>
      </w:r>
      <w:r w:rsidR="00D859F7" w:rsidRPr="00D859F7">
        <w:t xml:space="preserve">PBMs sometimes pay below what it cost </w:t>
      </w:r>
      <w:r w:rsidR="000C5778">
        <w:t xml:space="preserve">local </w:t>
      </w:r>
      <w:r w:rsidR="000C5778" w:rsidRPr="00D859F7">
        <w:t>pharmacies</w:t>
      </w:r>
      <w:r w:rsidR="00D859F7" w:rsidRPr="00D859F7">
        <w:t xml:space="preserve"> to procure </w:t>
      </w:r>
      <w:r>
        <w:t xml:space="preserve">brand name </w:t>
      </w:r>
      <w:r w:rsidR="00D859F7" w:rsidRPr="00D859F7">
        <w:t>prescription drugs</w:t>
      </w:r>
      <w:r>
        <w:t>. This</w:t>
      </w:r>
      <w:r w:rsidR="00D859F7" w:rsidRPr="00D859F7">
        <w:t xml:space="preserve"> mean</w:t>
      </w:r>
      <w:r>
        <w:t>s a local</w:t>
      </w:r>
      <w:r w:rsidR="00D859F7" w:rsidRPr="00D859F7">
        <w:t xml:space="preserve"> pharmac</w:t>
      </w:r>
      <w:r>
        <w:t>y</w:t>
      </w:r>
      <w:r w:rsidR="00D859F7" w:rsidRPr="00D859F7">
        <w:t xml:space="preserve"> ha</w:t>
      </w:r>
      <w:r>
        <w:t>s</w:t>
      </w:r>
      <w:r w:rsidR="00D859F7" w:rsidRPr="00D859F7">
        <w:t xml:space="preserve"> to sell their medication at a loss. </w:t>
      </w:r>
    </w:p>
    <w:p w14:paraId="3D3850CB" w14:textId="77777777" w:rsidR="0031060F" w:rsidRPr="00D859F7" w:rsidRDefault="0031060F" w:rsidP="0031060F">
      <w:pPr>
        <w:pStyle w:val="ListParagraph"/>
      </w:pPr>
    </w:p>
    <w:p w14:paraId="38F40416" w14:textId="1A6BC84D" w:rsidR="000C5778" w:rsidRDefault="00D859F7" w:rsidP="00E65BE0">
      <w:pPr>
        <w:pStyle w:val="ListParagraph"/>
        <w:numPr>
          <w:ilvl w:val="0"/>
          <w:numId w:val="5"/>
        </w:numPr>
      </w:pPr>
      <w:r w:rsidRPr="00D859F7">
        <w:t>Lehigh County could also place in its future contract provisions</w:t>
      </w:r>
      <w:r w:rsidR="0031060F">
        <w:t xml:space="preserve"> protections a</w:t>
      </w:r>
      <w:r w:rsidRPr="00D859F7">
        <w:t xml:space="preserve">gainst </w:t>
      </w:r>
      <w:r w:rsidR="0068372A">
        <w:t xml:space="preserve">“spread pricing”. The County is </w:t>
      </w:r>
      <w:r w:rsidR="000C5778">
        <w:t>self-insured</w:t>
      </w:r>
      <w:r w:rsidR="0068372A">
        <w:t>, this means that the county is paying the costs of all medical and pharmacy expenses rather than an insurance company paying. The county uses a</w:t>
      </w:r>
      <w:r w:rsidR="0031060F">
        <w:t>n</w:t>
      </w:r>
      <w:r w:rsidR="0068372A">
        <w:t xml:space="preserve"> intermediary administrator that has the doctor and pharmacy network. The administrator pays the bill and then the county reimburses the administrator for this payment.</w:t>
      </w:r>
    </w:p>
    <w:p w14:paraId="74C91022" w14:textId="33EFE646" w:rsidR="00810D39" w:rsidRDefault="0068372A" w:rsidP="0031060F">
      <w:pPr>
        <w:pStyle w:val="ListParagraph"/>
      </w:pPr>
      <w:r>
        <w:t xml:space="preserve"> In “spread </w:t>
      </w:r>
      <w:r w:rsidR="00D859F7" w:rsidRPr="00D859F7">
        <w:t>pric</w:t>
      </w:r>
      <w:r>
        <w:t>ing”</w:t>
      </w:r>
      <w:r w:rsidR="00D859F7" w:rsidRPr="00D859F7">
        <w:t xml:space="preserve"> </w:t>
      </w:r>
      <w:r>
        <w:t xml:space="preserve">the administrator pays the pharmacy less than what they charge the county, </w:t>
      </w:r>
      <w:r w:rsidR="00367825">
        <w:t>for</w:t>
      </w:r>
      <w:r>
        <w:t xml:space="preserve"> example, the intermediary will pay the pharmacy $10 but then charge the county $12. The intermediary then </w:t>
      </w:r>
      <w:r w:rsidR="00367825">
        <w:t>takes</w:t>
      </w:r>
      <w:r>
        <w:t xml:space="preserve"> the $2 spread as profit. The intermediary is already being paid an administrative fee. There is no reason for addition spread pricing. </w:t>
      </w:r>
    </w:p>
    <w:p w14:paraId="1561DD08" w14:textId="77777777" w:rsidR="0031060F" w:rsidRDefault="0031060F" w:rsidP="0031060F">
      <w:pPr>
        <w:pStyle w:val="ListParagraph"/>
      </w:pPr>
    </w:p>
    <w:p w14:paraId="6388D48D" w14:textId="060B5E43" w:rsidR="00D859F7" w:rsidRPr="0068372A" w:rsidRDefault="00D859F7" w:rsidP="00810D39">
      <w:pPr>
        <w:pStyle w:val="Heading2"/>
        <w:rPr>
          <w:b/>
          <w:bCs/>
        </w:rPr>
      </w:pPr>
      <w:r w:rsidRPr="0068372A">
        <w:rPr>
          <w:b/>
          <w:bCs/>
        </w:rPr>
        <w:t xml:space="preserve">State </w:t>
      </w:r>
      <w:r w:rsidR="0068372A" w:rsidRPr="0068372A">
        <w:rPr>
          <w:b/>
          <w:bCs/>
        </w:rPr>
        <w:t>Recommendations</w:t>
      </w:r>
      <w:r w:rsidRPr="0068372A">
        <w:rPr>
          <w:b/>
          <w:bCs/>
        </w:rPr>
        <w:t xml:space="preserve"> </w:t>
      </w:r>
    </w:p>
    <w:p w14:paraId="134F012A" w14:textId="26E9BF44" w:rsidR="00D859F7" w:rsidRPr="00D859F7" w:rsidRDefault="00D859F7" w:rsidP="00810D39">
      <w:pPr>
        <w:pStyle w:val="ListParagraph"/>
        <w:numPr>
          <w:ilvl w:val="0"/>
          <w:numId w:val="4"/>
        </w:numPr>
      </w:pPr>
      <w:r w:rsidRPr="00D859F7">
        <w:t>Institute Pharmacy Ownership Laws. North Dakota requires pharmacies to be owned and operated by a licensed pharmacist or a company</w:t>
      </w:r>
      <w:r w:rsidR="00EE51AA">
        <w:t xml:space="preserve"> majority </w:t>
      </w:r>
      <w:r w:rsidRPr="00D859F7">
        <w:t xml:space="preserve">owned by licensed pharmacists.  This prevents the expansion of corporate chain pharmacies.  These laws have increased access to independent pharmacies in North Dakota.  It is estimated that without this law about 70 independent pharmacies would close and the state would lose </w:t>
      </w:r>
      <w:r w:rsidR="00EE51AA">
        <w:t xml:space="preserve">as high as </w:t>
      </w:r>
      <w:r w:rsidRPr="00D859F7">
        <w:t>$</w:t>
      </w:r>
      <w:r w:rsidR="0031060F" w:rsidRPr="00D859F7">
        <w:t>2</w:t>
      </w:r>
      <w:r w:rsidR="0031060F">
        <w:t xml:space="preserve">9 </w:t>
      </w:r>
      <w:r w:rsidR="0031060F" w:rsidRPr="00D859F7">
        <w:t>million</w:t>
      </w:r>
      <w:r w:rsidR="00EE51AA">
        <w:t xml:space="preserve"> a year</w:t>
      </w:r>
      <w:r w:rsidRPr="00D859F7">
        <w:t xml:space="preserve"> in economic </w:t>
      </w:r>
      <w:r w:rsidR="0031060F">
        <w:t xml:space="preserve">loss. </w:t>
      </w:r>
      <w:r w:rsidRPr="00D859F7">
        <w:t>That’s out of 17</w:t>
      </w:r>
      <w:r w:rsidR="0031060F">
        <w:t xml:space="preserve">7 </w:t>
      </w:r>
      <w:r w:rsidRPr="00D859F7">
        <w:t xml:space="preserve">total pharmacies. </w:t>
      </w:r>
    </w:p>
    <w:p w14:paraId="58EC56DD" w14:textId="77777777" w:rsidR="00D859F7" w:rsidRPr="00D859F7" w:rsidRDefault="00D859F7" w:rsidP="00D859F7">
      <w:pPr>
        <w:ind w:firstLine="720"/>
      </w:pPr>
    </w:p>
    <w:p w14:paraId="44857C97" w14:textId="43E9EFCA" w:rsidR="00D859F7" w:rsidRPr="00D859F7" w:rsidRDefault="00D859F7" w:rsidP="00367825">
      <w:pPr>
        <w:ind w:left="720"/>
      </w:pPr>
      <w:r w:rsidRPr="00D859F7">
        <w:t xml:space="preserve">North Dakotans also have more pharmacies per capita than the national average, there are only six chain pharmacies in the state that were there before the 1963 Pharmacy Law was passed. </w:t>
      </w:r>
    </w:p>
    <w:p w14:paraId="58BA8E72" w14:textId="6C8FA219" w:rsidR="000C5778" w:rsidRDefault="00D859F7" w:rsidP="00810D39">
      <w:pPr>
        <w:ind w:left="720"/>
      </w:pPr>
      <w:r w:rsidRPr="00D859F7">
        <w:t xml:space="preserve">North Dakotans in rural census tracts </w:t>
      </w:r>
      <w:r w:rsidR="00E11722">
        <w:t>are</w:t>
      </w:r>
      <w:r w:rsidRPr="00D859F7">
        <w:t xml:space="preserve"> 51%</w:t>
      </w:r>
      <w:r w:rsidR="00E11722">
        <w:t xml:space="preserve"> more likely to be served by a pharmacy </w:t>
      </w:r>
      <w:r w:rsidR="00610EB1">
        <w:t xml:space="preserve">than those </w:t>
      </w:r>
      <w:r w:rsidR="00E11722">
        <w:t>in similarly populated parts of South Dakota</w:t>
      </w:r>
      <w:r w:rsidRPr="00D859F7">
        <w:t>.  North Dakotans also enjoy some of the lowest prices’ prescription drugs in the country, their 13</w:t>
      </w:r>
      <w:r w:rsidRPr="00D859F7">
        <w:rPr>
          <w:vertAlign w:val="superscript"/>
        </w:rPr>
        <w:t>th</w:t>
      </w:r>
      <w:r w:rsidRPr="00D859F7">
        <w:t xml:space="preserve"> out of 50 states in terms of price</w:t>
      </w:r>
      <w:r w:rsidR="00E11722">
        <w:t xml:space="preserve"> over the last five years.</w:t>
      </w:r>
      <w:r w:rsidR="00367825">
        <w:rPr>
          <w:rStyle w:val="FootnoteReference"/>
        </w:rPr>
        <w:footnoteReference w:id="10"/>
      </w:r>
    </w:p>
    <w:p w14:paraId="3F8342FC" w14:textId="77777777" w:rsidR="000C5778" w:rsidRPr="00D859F7" w:rsidRDefault="000C5778" w:rsidP="00810D39">
      <w:pPr>
        <w:ind w:left="720"/>
      </w:pPr>
    </w:p>
    <w:p w14:paraId="18DD2833" w14:textId="5D4A7D56" w:rsidR="00D859F7" w:rsidRDefault="00D859F7" w:rsidP="00810D39">
      <w:pPr>
        <w:pStyle w:val="ListParagraph"/>
        <w:numPr>
          <w:ilvl w:val="0"/>
          <w:numId w:val="4"/>
        </w:numPr>
      </w:pPr>
      <w:r w:rsidRPr="00D859F7">
        <w:t>Utilize the West Virginia model employing a fee for service model where each service or prescription has one rate attached to it.</w:t>
      </w:r>
      <w:r w:rsidR="00E11722">
        <w:t xml:space="preserve">  This model enabled West Virginia to save $38 million in its first year.</w:t>
      </w:r>
      <w:r w:rsidR="00E11722" w:rsidRPr="00E11722">
        <w:rPr>
          <w:rStyle w:val="FootnoteReference"/>
        </w:rPr>
        <w:t xml:space="preserve"> </w:t>
      </w:r>
      <w:r w:rsidR="00E11722">
        <w:rPr>
          <w:rStyle w:val="FootnoteReference"/>
        </w:rPr>
        <w:footnoteReference w:id="11"/>
      </w:r>
      <w:r w:rsidRPr="00D859F7">
        <w:t xml:space="preserve"> This legislative change would eliminate PBMs as middle men as it relates to state healthcare costs.</w:t>
      </w:r>
      <w:r w:rsidR="00A27A5D">
        <w:t xml:space="preserve">   </w:t>
      </w:r>
    </w:p>
    <w:p w14:paraId="0DB72795" w14:textId="77777777" w:rsidR="00610EB1" w:rsidRPr="00D859F7" w:rsidRDefault="00610EB1" w:rsidP="00610EB1">
      <w:pPr>
        <w:pStyle w:val="ListParagraph"/>
      </w:pPr>
    </w:p>
    <w:p w14:paraId="707891EC" w14:textId="47852D7C" w:rsidR="00F70763" w:rsidRDefault="00D859F7" w:rsidP="00610EB1">
      <w:pPr>
        <w:pStyle w:val="ListParagraph"/>
        <w:numPr>
          <w:ilvl w:val="0"/>
          <w:numId w:val="4"/>
        </w:numPr>
      </w:pPr>
      <w:r w:rsidRPr="00D859F7">
        <w:t>Institute greater transparency laws regarding PBM pricing including the price rate of drugs and their reimbursement for each.  PBM’s currently have tremendous power over healthcare information which limits the ability of pharmacies and employers to fully understand their total costs.  PBMs should be required to publish the price of drugs that they’re paying for.</w:t>
      </w:r>
    </w:p>
    <w:p w14:paraId="2F5F731F" w14:textId="77777777" w:rsidR="00F70763" w:rsidRDefault="00F70763" w:rsidP="00666EC2">
      <w:pPr>
        <w:pStyle w:val="Heading2"/>
      </w:pPr>
      <w:r>
        <w:lastRenderedPageBreak/>
        <w:t>Bibliography</w:t>
      </w:r>
    </w:p>
    <w:p w14:paraId="7F15B103" w14:textId="43AB4E4B" w:rsidR="00F70763" w:rsidRDefault="00F70763" w:rsidP="00666EC2">
      <w:pPr>
        <w:widowControl w:val="0"/>
        <w:autoSpaceDE w:val="0"/>
        <w:autoSpaceDN w:val="0"/>
        <w:adjustRightInd w:val="0"/>
        <w:spacing w:before="240" w:after="240" w:line="240" w:lineRule="auto"/>
        <w:ind w:left="720" w:hanging="720"/>
        <w:rPr>
          <w:rFonts w:cs="Times New Roman"/>
          <w:szCs w:val="24"/>
        </w:rPr>
      </w:pPr>
      <w:r>
        <w:rPr>
          <w:rFonts w:cs="Times New Roman"/>
          <w:szCs w:val="24"/>
        </w:rPr>
        <w:t xml:space="preserve">Boyd, Donald. “The Potential Impact of Alternative Health Care Spending Scenarios on Future State and Local Government Budgets.” In </w:t>
      </w:r>
      <w:proofErr w:type="gramStart"/>
      <w:r>
        <w:rPr>
          <w:rFonts w:cs="Times New Roman"/>
          <w:i/>
          <w:iCs/>
          <w:szCs w:val="24"/>
        </w:rPr>
        <w:t>The</w:t>
      </w:r>
      <w:proofErr w:type="gramEnd"/>
      <w:r>
        <w:rPr>
          <w:rFonts w:cs="Times New Roman"/>
          <w:i/>
          <w:iCs/>
          <w:szCs w:val="24"/>
        </w:rPr>
        <w:t xml:space="preserve"> Future of U.S. Health Care Spending Conference</w:t>
      </w:r>
      <w:r>
        <w:rPr>
          <w:rFonts w:cs="Times New Roman"/>
          <w:szCs w:val="24"/>
        </w:rPr>
        <w:t>. Washington, DC: Engelberg Center for Health Care Reform at Brookings, 2014.</w:t>
      </w:r>
      <w:hyperlink r:id="rId10" w:history="1">
        <w:r w:rsidR="00CA5BD1" w:rsidRPr="004F78F4">
          <w:rPr>
            <w:rStyle w:val="Hyperlink"/>
            <w:rFonts w:cs="Times New Roman"/>
            <w:szCs w:val="24"/>
          </w:rPr>
          <w:t>https://www.brookings.edu/wpcontent/uploads/2016/06/health_care_spending_state_local_budgets_boyd.pdf</w:t>
        </w:r>
      </w:hyperlink>
      <w:r>
        <w:rPr>
          <w:rFonts w:cs="Times New Roman"/>
          <w:szCs w:val="24"/>
        </w:rPr>
        <w:t>.</w:t>
      </w:r>
    </w:p>
    <w:p w14:paraId="794E423C" w14:textId="44F6F9D1" w:rsidR="00CA5BD1" w:rsidRDefault="00CA5BD1" w:rsidP="00CA5BD1">
      <w:pPr>
        <w:pStyle w:val="NormalWeb"/>
        <w:ind w:left="567" w:hanging="567"/>
      </w:pPr>
      <w:r>
        <w:t xml:space="preserve">CMS Issues New Guidance Addressing Spread Pricing in Medicaid, Ensures Pharmacy Benefit Managers are not Up-Charging Taxpayers. (n.d.). Retrieved November 25, 2020, from </w:t>
      </w:r>
      <w:hyperlink r:id="rId11" w:history="1">
        <w:r w:rsidRPr="004F78F4">
          <w:rPr>
            <w:rStyle w:val="Hyperlink"/>
          </w:rPr>
          <w:t>https://www.cms.gov/newsroom/press-releases/cms-issues-new-guidance-addressing-spread-pricing-medicaid-ensures-pharmacy-benefit-managers-are-not</w:t>
        </w:r>
      </w:hyperlink>
    </w:p>
    <w:p w14:paraId="380A3E6A" w14:textId="4C4AA5E2" w:rsidR="00CA5BD1" w:rsidRDefault="00CA5BD1" w:rsidP="00CA5BD1">
      <w:pPr>
        <w:widowControl w:val="0"/>
        <w:autoSpaceDE w:val="0"/>
        <w:autoSpaceDN w:val="0"/>
        <w:adjustRightInd w:val="0"/>
        <w:spacing w:before="240" w:after="240" w:line="240" w:lineRule="auto"/>
        <w:ind w:left="720" w:hanging="720"/>
        <w:rPr>
          <w:rFonts w:cs="Times New Roman"/>
          <w:szCs w:val="24"/>
        </w:rPr>
      </w:pPr>
      <w:r>
        <w:rPr>
          <w:rFonts w:cs="Times New Roman"/>
          <w:szCs w:val="24"/>
        </w:rPr>
        <w:t>Gill, Lisa L. “Consumers Still Prefer Independent Pharmacies, CR’s Ratings Show.” Consumer Reports, Inc., December 7, 2018. https://www.consumerreports.org/pharmacies/consumers-still-prefer-independent-pharmacies-consumer-reports-ratings-show/.</w:t>
      </w:r>
    </w:p>
    <w:p w14:paraId="0C214458" w14:textId="26E29ECB" w:rsidR="00011596" w:rsidRDefault="00011596" w:rsidP="00666EC2">
      <w:pPr>
        <w:widowControl w:val="0"/>
        <w:autoSpaceDE w:val="0"/>
        <w:autoSpaceDN w:val="0"/>
        <w:adjustRightInd w:val="0"/>
        <w:spacing w:before="240" w:after="240" w:line="240" w:lineRule="auto"/>
        <w:ind w:left="720" w:hanging="720"/>
        <w:rPr>
          <w:rFonts w:cs="Times New Roman"/>
          <w:szCs w:val="24"/>
        </w:rPr>
      </w:pPr>
      <w:r>
        <w:rPr>
          <w:rFonts w:cs="Times New Roman"/>
          <w:szCs w:val="24"/>
        </w:rPr>
        <w:t>L</w:t>
      </w:r>
      <w:r w:rsidRPr="00011596">
        <w:rPr>
          <w:rFonts w:cs="Times New Roman"/>
          <w:szCs w:val="24"/>
        </w:rPr>
        <w:t>aVecchia, O. and Mitchell, S., 2014. North Dakota's Pharmacy Ownership Law. [ebook] ILSR. Available at: &lt;https://ilsr.org/wp-content/uploads/2014/10/ND_Pharmacy_Ownership_Report.pdf&gt; [Accessed 17 November 2020].</w:t>
      </w:r>
    </w:p>
    <w:p w14:paraId="5EF2AC42" w14:textId="4DA96B7C" w:rsidR="00CA5BD1" w:rsidRDefault="00CA5BD1" w:rsidP="00666EC2">
      <w:pPr>
        <w:widowControl w:val="0"/>
        <w:autoSpaceDE w:val="0"/>
        <w:autoSpaceDN w:val="0"/>
        <w:adjustRightInd w:val="0"/>
        <w:spacing w:before="240" w:after="240" w:line="240" w:lineRule="auto"/>
        <w:ind w:left="720" w:hanging="720"/>
        <w:rPr>
          <w:rFonts w:cs="Times New Roman"/>
          <w:szCs w:val="24"/>
        </w:rPr>
      </w:pPr>
      <w:r>
        <w:rPr>
          <w:rFonts w:cs="Times New Roman"/>
          <w:szCs w:val="24"/>
        </w:rPr>
        <w:t xml:space="preserve">Mitchell, Stacy, and Charlie Thaxton. “How a Rebirth of Independent Pharmacies Could Cure Rural Ills.” Institute for Local Self-Reliance, November 6, 2019. </w:t>
      </w:r>
      <w:hyperlink r:id="rId12" w:history="1">
        <w:r w:rsidR="004216A7" w:rsidRPr="004F78F4">
          <w:rPr>
            <w:rStyle w:val="Hyperlink"/>
            <w:rFonts w:cs="Times New Roman"/>
            <w:szCs w:val="24"/>
          </w:rPr>
          <w:t>https://ilsr.org/how-a-rebirth-of-independent-pharmacies-could-cure-rural-ills/</w:t>
        </w:r>
      </w:hyperlink>
      <w:r>
        <w:rPr>
          <w:rFonts w:cs="Times New Roman"/>
          <w:szCs w:val="24"/>
        </w:rPr>
        <w:t>.</w:t>
      </w:r>
    </w:p>
    <w:p w14:paraId="2EE6FD3E" w14:textId="77777777" w:rsidR="004216A7" w:rsidRDefault="004216A7" w:rsidP="004216A7">
      <w:pPr>
        <w:widowControl w:val="0"/>
        <w:autoSpaceDE w:val="0"/>
        <w:autoSpaceDN w:val="0"/>
        <w:adjustRightInd w:val="0"/>
        <w:spacing w:before="240" w:after="240" w:line="240" w:lineRule="auto"/>
        <w:ind w:left="720" w:hanging="720"/>
        <w:rPr>
          <w:rFonts w:cs="Times New Roman"/>
          <w:szCs w:val="24"/>
        </w:rPr>
      </w:pPr>
      <w:r>
        <w:rPr>
          <w:rFonts w:cs="Times New Roman"/>
          <w:szCs w:val="24"/>
        </w:rPr>
        <w:t>Pennsylvania Pharmacists Association. “PBM Issues.” Pennsylvania Pharmacists Association. Accessed November 10, 2020. https://www.papharmacists.com/page/PBMIssues?</w:t>
      </w:r>
    </w:p>
    <w:p w14:paraId="5B83915C" w14:textId="575F0017" w:rsidR="004216A7" w:rsidRDefault="004216A7" w:rsidP="00666EC2">
      <w:pPr>
        <w:widowControl w:val="0"/>
        <w:autoSpaceDE w:val="0"/>
        <w:autoSpaceDN w:val="0"/>
        <w:adjustRightInd w:val="0"/>
        <w:spacing w:before="240" w:after="240" w:line="240" w:lineRule="auto"/>
        <w:ind w:left="720" w:hanging="720"/>
        <w:rPr>
          <w:rFonts w:cs="Times New Roman"/>
          <w:szCs w:val="24"/>
        </w:rPr>
      </w:pPr>
      <w:r>
        <w:rPr>
          <w:rFonts w:cs="Times New Roman"/>
          <w:szCs w:val="24"/>
        </w:rPr>
        <w:t>Pew Charitable Trusts. “State and Local Government Spending on Health Care Slowed in 2013.” Pew Charitable Trusts, February 9, 2015. https://www.pewtrusts.org/en/research-and-analysis/articles/2015/02/09/state-and-local-government-spending-on-health-care-slowed-in-2013#:~:text=Combined%20health%20care%20expenditures%20by.</w:t>
      </w:r>
    </w:p>
    <w:p w14:paraId="0571F666" w14:textId="10F6AC1F" w:rsidR="00CA5BD1" w:rsidRDefault="00CA5BD1" w:rsidP="00666EC2">
      <w:pPr>
        <w:widowControl w:val="0"/>
        <w:autoSpaceDE w:val="0"/>
        <w:autoSpaceDN w:val="0"/>
        <w:adjustRightInd w:val="0"/>
        <w:spacing w:before="240" w:after="240" w:line="240" w:lineRule="auto"/>
        <w:ind w:left="720" w:hanging="720"/>
        <w:rPr>
          <w:rFonts w:cs="Times New Roman"/>
          <w:szCs w:val="24"/>
        </w:rPr>
      </w:pPr>
      <w:r>
        <w:rPr>
          <w:rFonts w:cs="Times New Roman"/>
          <w:szCs w:val="24"/>
        </w:rPr>
        <w:t>Rowland, Darrel, and Lucas Sullivan. “Ohio Shies Away from Drug Plan That Saved West Virginia $38 Million.” The Columbus Dispatch, May 6, 2018. https://www.dispatch.com/news/20180504/ohio-shies-away-from-drug-plan-that-saved-west-virginia-38-million#:~:text=West%20Virginia’s%20state%20pharmacy%20board, million%20in%20its%20first%20</w:t>
      </w:r>
      <w:proofErr w:type="gramStart"/>
      <w:r>
        <w:rPr>
          <w:rFonts w:cs="Times New Roman"/>
          <w:szCs w:val="24"/>
        </w:rPr>
        <w:t>year.&amp;</w:t>
      </w:r>
      <w:proofErr w:type="gramEnd"/>
      <w:r>
        <w:rPr>
          <w:rFonts w:cs="Times New Roman"/>
          <w:szCs w:val="24"/>
        </w:rPr>
        <w:t>text=Stevens%2C%20executive%20director%20of%20the%20West%20Virginia%20Pharmacists%20Association.</w:t>
      </w:r>
    </w:p>
    <w:p w14:paraId="2C5D2FEA" w14:textId="77777777" w:rsidR="00610EB1" w:rsidRDefault="00610EB1" w:rsidP="00666EC2">
      <w:pPr>
        <w:widowControl w:val="0"/>
        <w:autoSpaceDE w:val="0"/>
        <w:autoSpaceDN w:val="0"/>
        <w:adjustRightInd w:val="0"/>
        <w:spacing w:before="240" w:after="240" w:line="240" w:lineRule="auto"/>
        <w:ind w:left="720" w:hanging="720"/>
        <w:rPr>
          <w:rFonts w:cs="Times New Roman"/>
          <w:szCs w:val="24"/>
        </w:rPr>
      </w:pPr>
    </w:p>
    <w:p w14:paraId="4A95BAD9" w14:textId="77777777" w:rsidR="00610EB1" w:rsidRDefault="00610EB1" w:rsidP="00666EC2">
      <w:pPr>
        <w:widowControl w:val="0"/>
        <w:autoSpaceDE w:val="0"/>
        <w:autoSpaceDN w:val="0"/>
        <w:adjustRightInd w:val="0"/>
        <w:spacing w:before="240" w:after="240" w:line="240" w:lineRule="auto"/>
        <w:ind w:left="720" w:hanging="720"/>
        <w:rPr>
          <w:rFonts w:cs="Times New Roman"/>
          <w:szCs w:val="24"/>
        </w:rPr>
      </w:pPr>
    </w:p>
    <w:p w14:paraId="17290024" w14:textId="77777777" w:rsidR="00610EB1" w:rsidRDefault="00610EB1" w:rsidP="00666EC2">
      <w:pPr>
        <w:widowControl w:val="0"/>
        <w:autoSpaceDE w:val="0"/>
        <w:autoSpaceDN w:val="0"/>
        <w:adjustRightInd w:val="0"/>
        <w:spacing w:before="240" w:after="240" w:line="240" w:lineRule="auto"/>
        <w:ind w:left="720" w:hanging="720"/>
        <w:rPr>
          <w:rFonts w:cs="Times New Roman"/>
          <w:szCs w:val="24"/>
        </w:rPr>
      </w:pPr>
    </w:p>
    <w:p w14:paraId="66CFBBD1" w14:textId="6D2DF550" w:rsidR="00CA5BD1" w:rsidRDefault="00F70763" w:rsidP="00666EC2">
      <w:pPr>
        <w:widowControl w:val="0"/>
        <w:autoSpaceDE w:val="0"/>
        <w:autoSpaceDN w:val="0"/>
        <w:adjustRightInd w:val="0"/>
        <w:spacing w:before="240" w:after="240" w:line="240" w:lineRule="auto"/>
        <w:ind w:left="720" w:hanging="720"/>
        <w:rPr>
          <w:rFonts w:cs="Times New Roman"/>
          <w:szCs w:val="24"/>
        </w:rPr>
      </w:pPr>
      <w:r>
        <w:rPr>
          <w:rFonts w:cs="Times New Roman"/>
          <w:szCs w:val="24"/>
        </w:rPr>
        <w:lastRenderedPageBreak/>
        <w:t xml:space="preserve">Firozi, Paulina. “The Health 202: Here’s Why Rural Independent Pharmacies Are Closing Their Doors.” The Washington Post, August 23, 2018. </w:t>
      </w:r>
      <w:hyperlink r:id="rId13" w:history="1">
        <w:r w:rsidR="004216A7" w:rsidRPr="004F78F4">
          <w:rPr>
            <w:rStyle w:val="Hyperlink"/>
            <w:rFonts w:cs="Times New Roman"/>
            <w:szCs w:val="24"/>
          </w:rPr>
          <w:t>https://www.washingtonpost.com/news/powerpost/paloma/the-health-202/2018/08/23/the-health-202-here-s-why-rural-independent-pharmacies-are-closing-their-doors/5b7da33e1b326b7234392b05/</w:t>
        </w:r>
      </w:hyperlink>
      <w:r>
        <w:rPr>
          <w:rFonts w:cs="Times New Roman"/>
          <w:szCs w:val="24"/>
        </w:rPr>
        <w:t>.</w:t>
      </w:r>
    </w:p>
    <w:p w14:paraId="65257230" w14:textId="77777777" w:rsidR="004216A7" w:rsidRDefault="004216A7" w:rsidP="004216A7">
      <w:pPr>
        <w:pStyle w:val="NormalWeb"/>
        <w:ind w:left="567" w:hanging="567"/>
      </w:pPr>
      <w:r>
        <w:t>Understanding Drug Tiers. (2018, December 19). Retrieved November 30, 2020, from https://www.patientadvocate.org/explore-our-resources/understanding-health-insurance/understanding-drug-tiers/</w:t>
      </w:r>
    </w:p>
    <w:p w14:paraId="194EDB49" w14:textId="77777777" w:rsidR="004216A7" w:rsidRDefault="004216A7" w:rsidP="00666EC2">
      <w:pPr>
        <w:widowControl w:val="0"/>
        <w:autoSpaceDE w:val="0"/>
        <w:autoSpaceDN w:val="0"/>
        <w:adjustRightInd w:val="0"/>
        <w:spacing w:before="240" w:after="240" w:line="240" w:lineRule="auto"/>
        <w:ind w:left="720" w:hanging="720"/>
        <w:rPr>
          <w:rFonts w:cs="Times New Roman"/>
          <w:szCs w:val="24"/>
        </w:rPr>
      </w:pPr>
    </w:p>
    <w:p w14:paraId="6DB4DCDB" w14:textId="77777777" w:rsidR="004216A7" w:rsidRDefault="004216A7" w:rsidP="00666EC2">
      <w:pPr>
        <w:widowControl w:val="0"/>
        <w:autoSpaceDE w:val="0"/>
        <w:autoSpaceDN w:val="0"/>
        <w:adjustRightInd w:val="0"/>
        <w:spacing w:before="240" w:after="240" w:line="240" w:lineRule="auto"/>
        <w:ind w:left="720" w:hanging="720"/>
        <w:rPr>
          <w:rFonts w:cs="Times New Roman"/>
          <w:szCs w:val="24"/>
        </w:rPr>
      </w:pPr>
    </w:p>
    <w:p w14:paraId="27FD0552" w14:textId="6235DE8D" w:rsidR="00F70763" w:rsidRPr="0080508D" w:rsidRDefault="00F70763" w:rsidP="0080508D">
      <w:pPr>
        <w:widowControl w:val="0"/>
        <w:autoSpaceDE w:val="0"/>
        <w:autoSpaceDN w:val="0"/>
        <w:adjustRightInd w:val="0"/>
        <w:spacing w:before="240" w:after="240" w:line="240" w:lineRule="auto"/>
        <w:ind w:left="720" w:hanging="720"/>
        <w:rPr>
          <w:rFonts w:cs="Times New Roman"/>
          <w:szCs w:val="24"/>
        </w:rPr>
      </w:pPr>
    </w:p>
    <w:sectPr w:rsidR="00F70763" w:rsidRPr="0080508D" w:rsidSect="00666EC2">
      <w:head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FF635" w14:textId="77777777" w:rsidR="00532548" w:rsidRDefault="00532548" w:rsidP="008A3A90">
      <w:pPr>
        <w:spacing w:line="240" w:lineRule="auto"/>
      </w:pPr>
      <w:r>
        <w:separator/>
      </w:r>
    </w:p>
  </w:endnote>
  <w:endnote w:type="continuationSeparator" w:id="0">
    <w:p w14:paraId="2EB74E4D" w14:textId="77777777" w:rsidR="00532548" w:rsidRDefault="00532548" w:rsidP="008A3A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1F673" w14:textId="77777777" w:rsidR="00532548" w:rsidRDefault="00532548" w:rsidP="008A3A90">
      <w:pPr>
        <w:spacing w:line="240" w:lineRule="auto"/>
      </w:pPr>
      <w:r>
        <w:separator/>
      </w:r>
    </w:p>
  </w:footnote>
  <w:footnote w:type="continuationSeparator" w:id="0">
    <w:p w14:paraId="42A6BA61" w14:textId="77777777" w:rsidR="00532548" w:rsidRDefault="00532548" w:rsidP="008A3A90">
      <w:pPr>
        <w:spacing w:line="240" w:lineRule="auto"/>
      </w:pPr>
      <w:r>
        <w:continuationSeparator/>
      </w:r>
    </w:p>
  </w:footnote>
  <w:footnote w:id="1">
    <w:p w14:paraId="4632ABC7" w14:textId="05793274" w:rsidR="00BA2BB5" w:rsidRPr="00BA2BB5" w:rsidRDefault="00BA2BB5" w:rsidP="00BA2BB5">
      <w:pPr>
        <w:widowControl w:val="0"/>
        <w:autoSpaceDE w:val="0"/>
        <w:autoSpaceDN w:val="0"/>
        <w:adjustRightInd w:val="0"/>
        <w:spacing w:before="240" w:after="240" w:line="240" w:lineRule="auto"/>
        <w:ind w:left="720" w:hanging="720"/>
        <w:rPr>
          <w:rFonts w:cs="Times New Roman"/>
          <w:sz w:val="14"/>
          <w:szCs w:val="14"/>
        </w:rPr>
      </w:pPr>
      <w:r w:rsidRPr="00F9649D">
        <w:rPr>
          <w:rStyle w:val="FootnoteReference"/>
        </w:rPr>
        <w:footnoteRef/>
      </w:r>
      <w:r w:rsidRPr="00F9649D">
        <w:t xml:space="preserve"> </w:t>
      </w:r>
      <w:r w:rsidRPr="00BA2BB5">
        <w:rPr>
          <w:rFonts w:cs="Times New Roman"/>
          <w:sz w:val="14"/>
          <w:szCs w:val="14"/>
        </w:rPr>
        <w:t xml:space="preserve">Boyd, Donald. “The Potential Impact of Alternative Health Care Spending Scenarios on Future State and Local Government Budgets.” In </w:t>
      </w:r>
      <w:proofErr w:type="gramStart"/>
      <w:r w:rsidRPr="00BA2BB5">
        <w:rPr>
          <w:rFonts w:cs="Times New Roman"/>
          <w:i/>
          <w:iCs/>
          <w:sz w:val="14"/>
          <w:szCs w:val="14"/>
        </w:rPr>
        <w:t>The</w:t>
      </w:r>
      <w:proofErr w:type="gramEnd"/>
      <w:r w:rsidRPr="00BA2BB5">
        <w:rPr>
          <w:rFonts w:cs="Times New Roman"/>
          <w:i/>
          <w:iCs/>
          <w:sz w:val="14"/>
          <w:szCs w:val="14"/>
        </w:rPr>
        <w:t xml:space="preserve"> Future of U.S. Health Care Spending Conference</w:t>
      </w:r>
      <w:r w:rsidRPr="00BA2BB5">
        <w:rPr>
          <w:rFonts w:cs="Times New Roman"/>
          <w:sz w:val="14"/>
          <w:szCs w:val="14"/>
        </w:rPr>
        <w:t>. Washington, DC: Engelberg Center for Health Care Reform at Brookings, 2014. https://www.brookings.edu/wp-content/uploads/2016/06/health_care_spending_state_local_budgets_boyd.pdf.</w:t>
      </w:r>
    </w:p>
  </w:footnote>
  <w:footnote w:id="2">
    <w:p w14:paraId="090E0838" w14:textId="77777777" w:rsidR="00BA2BB5" w:rsidRPr="00BA2BB5" w:rsidRDefault="00BA2BB5" w:rsidP="00BA2BB5">
      <w:pPr>
        <w:widowControl w:val="0"/>
        <w:autoSpaceDE w:val="0"/>
        <w:autoSpaceDN w:val="0"/>
        <w:adjustRightInd w:val="0"/>
        <w:spacing w:before="240" w:after="240" w:line="240" w:lineRule="auto"/>
        <w:ind w:left="720" w:hanging="720"/>
        <w:rPr>
          <w:rFonts w:cs="Times New Roman"/>
          <w:sz w:val="14"/>
          <w:szCs w:val="14"/>
        </w:rPr>
      </w:pPr>
      <w:r w:rsidRPr="00F9649D">
        <w:rPr>
          <w:rStyle w:val="FootnoteReference"/>
        </w:rPr>
        <w:footnoteRef/>
      </w:r>
      <w:r w:rsidRPr="00F9649D">
        <w:t xml:space="preserve"> </w:t>
      </w:r>
      <w:r w:rsidRPr="00BA2BB5">
        <w:rPr>
          <w:rFonts w:cs="Times New Roman"/>
          <w:sz w:val="14"/>
          <w:szCs w:val="14"/>
        </w:rPr>
        <w:t>Pew Charitable Trusts. “State and Local Government Spending on Health Care Slowed in 2013.” Pew Charitable Trusts, February 9, 2015. https://www.pewtrusts.org/en/research-and-analysis/articles/2015/02/09/state-and-local-government-spending-on-health-care-slowed-in-2013#:~:text=Combined%20health%20care%20expenditures%20by.</w:t>
      </w:r>
    </w:p>
    <w:p w14:paraId="0D198949" w14:textId="7A5E0F2D" w:rsidR="00BA2BB5" w:rsidRDefault="00BA2BB5">
      <w:pPr>
        <w:pStyle w:val="FootnoteText"/>
      </w:pPr>
    </w:p>
  </w:footnote>
  <w:footnote w:id="3">
    <w:p w14:paraId="4BC8D2F6" w14:textId="0202A8F2" w:rsidR="00477346" w:rsidRPr="003F2A95" w:rsidRDefault="00477346" w:rsidP="003F2A95">
      <w:pPr>
        <w:widowControl w:val="0"/>
        <w:autoSpaceDE w:val="0"/>
        <w:autoSpaceDN w:val="0"/>
        <w:adjustRightInd w:val="0"/>
        <w:spacing w:before="240" w:after="240" w:line="240" w:lineRule="auto"/>
        <w:ind w:left="720" w:hanging="720"/>
        <w:rPr>
          <w:rFonts w:cs="Times New Roman"/>
          <w:szCs w:val="24"/>
        </w:rPr>
      </w:pPr>
      <w:r w:rsidRPr="00F9649D">
        <w:rPr>
          <w:rStyle w:val="FootnoteReference"/>
        </w:rPr>
        <w:footnoteRef/>
      </w:r>
      <w:r w:rsidRPr="00F9649D">
        <w:t xml:space="preserve"> </w:t>
      </w:r>
      <w:r w:rsidRPr="00477346">
        <w:rPr>
          <w:rFonts w:cs="Times New Roman"/>
          <w:sz w:val="14"/>
          <w:szCs w:val="14"/>
        </w:rPr>
        <w:t>Pennsylvania Pharmacists Association. “PBM Issues.” Pennsylvania Pharmacists Association. Accessed November 10, 2020. https://www.papharmacists.com/page/PBMIssues?</w:t>
      </w:r>
    </w:p>
  </w:footnote>
  <w:footnote w:id="4">
    <w:p w14:paraId="3CB14CAF" w14:textId="2C12BFC9" w:rsidR="005F7742" w:rsidRDefault="005F7742" w:rsidP="005F7742">
      <w:pPr>
        <w:pStyle w:val="NormalWeb"/>
        <w:ind w:left="567" w:hanging="567"/>
      </w:pPr>
      <w:r>
        <w:rPr>
          <w:rStyle w:val="FootnoteReference"/>
        </w:rPr>
        <w:footnoteRef/>
      </w:r>
      <w:r>
        <w:t xml:space="preserve"> </w:t>
      </w:r>
      <w:r w:rsidRPr="003F2A95">
        <w:rPr>
          <w:sz w:val="14"/>
          <w:szCs w:val="14"/>
        </w:rPr>
        <w:t>Understanding Drug Tiers. (2018, December 19). Retrieved November 30, 2020, from https://www.patientadvocate.org/explore-our-resources/understanding-health-insurance/understanding-drug-tiers/</w:t>
      </w:r>
    </w:p>
  </w:footnote>
  <w:footnote w:id="5">
    <w:p w14:paraId="783A166D" w14:textId="77777777" w:rsidR="003F2A95" w:rsidRDefault="003F2A95" w:rsidP="003F2A95">
      <w:pPr>
        <w:pStyle w:val="NormalWeb"/>
        <w:ind w:left="567" w:hanging="567"/>
      </w:pPr>
      <w:r>
        <w:rPr>
          <w:rStyle w:val="FootnoteReference"/>
        </w:rPr>
        <w:footnoteRef/>
      </w:r>
      <w:r>
        <w:t xml:space="preserve"> </w:t>
      </w:r>
      <w:r w:rsidRPr="003F2A95">
        <w:rPr>
          <w:sz w:val="14"/>
          <w:szCs w:val="14"/>
        </w:rPr>
        <w:t>Understanding Drug Tiers. (2018, December 19). Retrieved November 30, 2020, from https://www.patientadvocate.org/explore-our-resources/understanding-health-insurance/understanding-drug-tiers/</w:t>
      </w:r>
    </w:p>
    <w:p w14:paraId="583EE18F" w14:textId="677B5898" w:rsidR="003F2A95" w:rsidRDefault="003F2A95">
      <w:pPr>
        <w:pStyle w:val="FootnoteText"/>
      </w:pPr>
    </w:p>
  </w:footnote>
  <w:footnote w:id="6">
    <w:p w14:paraId="469DFC55" w14:textId="68A3D688" w:rsidR="004317DE" w:rsidRPr="004317DE" w:rsidRDefault="004317DE" w:rsidP="004317DE">
      <w:pPr>
        <w:pStyle w:val="NormalWeb"/>
        <w:ind w:left="567" w:hanging="567"/>
        <w:rPr>
          <w:sz w:val="14"/>
          <w:szCs w:val="14"/>
        </w:rPr>
      </w:pPr>
      <w:r>
        <w:rPr>
          <w:rStyle w:val="FootnoteReference"/>
        </w:rPr>
        <w:footnoteRef/>
      </w:r>
      <w:r>
        <w:t xml:space="preserve"> </w:t>
      </w:r>
      <w:r w:rsidRPr="004317DE">
        <w:rPr>
          <w:sz w:val="14"/>
          <w:szCs w:val="14"/>
        </w:rPr>
        <w:t xml:space="preserve">CMS Issues New Guidance Addressing Spread Pricing in Medicaid, Ensures Pharmacy Benefit Managers are not Up-Charging Taxpayers. (n.d.). Retrieved November 25, 2020, from </w:t>
      </w:r>
      <w:hyperlink r:id="rId1" w:history="1">
        <w:r w:rsidRPr="004317DE">
          <w:rPr>
            <w:rStyle w:val="Hyperlink"/>
            <w:sz w:val="14"/>
            <w:szCs w:val="14"/>
          </w:rPr>
          <w:t>https://www.cms.gov/newsroom/press-releases/cms-issues-new-guidance-addressing-spread-pricing-medicaid-ensures-pharmacy-benefit-managers-are-not</w:t>
        </w:r>
      </w:hyperlink>
    </w:p>
  </w:footnote>
  <w:footnote w:id="7">
    <w:p w14:paraId="1BEB21A1" w14:textId="77777777" w:rsidR="00EE51AA" w:rsidRPr="00EE51AA" w:rsidRDefault="00EE51AA" w:rsidP="00EE51AA">
      <w:pPr>
        <w:widowControl w:val="0"/>
        <w:autoSpaceDE w:val="0"/>
        <w:autoSpaceDN w:val="0"/>
        <w:adjustRightInd w:val="0"/>
        <w:spacing w:before="240" w:after="240" w:line="240" w:lineRule="auto"/>
        <w:ind w:left="720" w:hanging="720"/>
        <w:rPr>
          <w:rFonts w:cs="Times New Roman"/>
          <w:sz w:val="14"/>
          <w:szCs w:val="14"/>
        </w:rPr>
      </w:pPr>
      <w:r w:rsidRPr="00E51C52">
        <w:rPr>
          <w:rStyle w:val="FootnoteReference"/>
        </w:rPr>
        <w:footnoteRef/>
      </w:r>
      <w:r w:rsidRPr="00E51C52">
        <w:t xml:space="preserve"> </w:t>
      </w:r>
      <w:r w:rsidRPr="00EE51AA">
        <w:rPr>
          <w:rFonts w:cs="Times New Roman"/>
          <w:sz w:val="14"/>
          <w:szCs w:val="14"/>
        </w:rPr>
        <w:t>Firozi, Paulina. “The Health 202: Here’s Why Rural Independent Pharmacies Are Closing Their Doors.” The Washington Post, August 23, 2018. https://www.washingtonpost.com/news/powerpost/paloma/the-health-202/2018/08/23/the-health-202-here-s-why-rural-independent-pharmacies-are-closing-their-doors/5b7da33e1b326b7234392b05/.</w:t>
      </w:r>
    </w:p>
  </w:footnote>
  <w:footnote w:id="8">
    <w:p w14:paraId="54DFE8EC" w14:textId="77777777" w:rsidR="00EE51AA" w:rsidRPr="00EE51AA" w:rsidRDefault="00EE51AA" w:rsidP="00EE51AA">
      <w:pPr>
        <w:widowControl w:val="0"/>
        <w:autoSpaceDE w:val="0"/>
        <w:autoSpaceDN w:val="0"/>
        <w:adjustRightInd w:val="0"/>
        <w:spacing w:before="240" w:after="240" w:line="240" w:lineRule="auto"/>
        <w:ind w:left="720" w:hanging="720"/>
        <w:rPr>
          <w:rFonts w:cs="Times New Roman"/>
          <w:sz w:val="14"/>
          <w:szCs w:val="14"/>
        </w:rPr>
      </w:pPr>
      <w:r w:rsidRPr="00E51C52">
        <w:rPr>
          <w:rStyle w:val="FootnoteReference"/>
          <w:szCs w:val="24"/>
        </w:rPr>
        <w:footnoteRef/>
      </w:r>
      <w:r w:rsidRPr="00E51C52">
        <w:rPr>
          <w:sz w:val="20"/>
          <w:szCs w:val="20"/>
        </w:rPr>
        <w:t xml:space="preserve"> </w:t>
      </w:r>
      <w:r w:rsidRPr="00EE51AA">
        <w:rPr>
          <w:rFonts w:cs="Times New Roman"/>
          <w:sz w:val="14"/>
          <w:szCs w:val="14"/>
        </w:rPr>
        <w:t>Mitchell, Stacy, and Charlie Thaxton. “How a Rebirth of Independent Pharmacies Could Cure Rural Ills.” Institute for Local Self-Reliance, November 6, 2019. https://ilsr.org/how-a-rebirth-of-independent-pharmacies-could-cure-rural-ills/.</w:t>
      </w:r>
    </w:p>
  </w:footnote>
  <w:footnote w:id="9">
    <w:p w14:paraId="1CACFEDF" w14:textId="77777777" w:rsidR="00566B43" w:rsidRPr="00EE51AA" w:rsidRDefault="00566B43" w:rsidP="00566B43">
      <w:pPr>
        <w:widowControl w:val="0"/>
        <w:autoSpaceDE w:val="0"/>
        <w:autoSpaceDN w:val="0"/>
        <w:adjustRightInd w:val="0"/>
        <w:spacing w:before="240" w:after="240" w:line="240" w:lineRule="auto"/>
        <w:ind w:left="720" w:hanging="720"/>
        <w:rPr>
          <w:rFonts w:cs="Times New Roman"/>
          <w:sz w:val="14"/>
          <w:szCs w:val="14"/>
        </w:rPr>
      </w:pPr>
      <w:r w:rsidRPr="00E51C52">
        <w:rPr>
          <w:rStyle w:val="FootnoteReference"/>
          <w:szCs w:val="24"/>
        </w:rPr>
        <w:footnoteRef/>
      </w:r>
      <w:r w:rsidRPr="00E51C52">
        <w:rPr>
          <w:sz w:val="22"/>
        </w:rPr>
        <w:t xml:space="preserve"> </w:t>
      </w:r>
      <w:r w:rsidRPr="00EE51AA">
        <w:rPr>
          <w:rFonts w:cs="Times New Roman"/>
          <w:sz w:val="14"/>
          <w:szCs w:val="14"/>
        </w:rPr>
        <w:t>Gill, Lisa L. “Consumers Still Prefer Independent Pharmacies, CR’s Ratings Show.” Consumer Reports, Inc., December 7, 2018. https://www.consumerreports.org/pharmacies/consumers-still-prefer-independent-pharmacies-consumer-reports-ratings-show/.</w:t>
      </w:r>
    </w:p>
    <w:p w14:paraId="5557274F" w14:textId="33BA61CB" w:rsidR="00566B43" w:rsidRPr="00566B43" w:rsidRDefault="00566B43">
      <w:pPr>
        <w:pStyle w:val="FootnoteText"/>
        <w:rPr>
          <w:sz w:val="10"/>
          <w:szCs w:val="10"/>
        </w:rPr>
      </w:pPr>
    </w:p>
  </w:footnote>
  <w:footnote w:id="10">
    <w:p w14:paraId="42180C7F" w14:textId="3C45530D" w:rsidR="00367825" w:rsidRPr="00011596" w:rsidRDefault="00367825" w:rsidP="00367825">
      <w:pPr>
        <w:widowControl w:val="0"/>
        <w:autoSpaceDE w:val="0"/>
        <w:autoSpaceDN w:val="0"/>
        <w:adjustRightInd w:val="0"/>
        <w:spacing w:before="240" w:after="240" w:line="240" w:lineRule="auto"/>
        <w:ind w:left="720" w:hanging="720"/>
        <w:rPr>
          <w:rFonts w:cs="Times New Roman"/>
          <w:szCs w:val="24"/>
        </w:rPr>
      </w:pPr>
      <w:r w:rsidRPr="00E259EA">
        <w:rPr>
          <w:rStyle w:val="FootnoteReference"/>
        </w:rPr>
        <w:footnoteRef/>
      </w:r>
      <w:r w:rsidRPr="00E259EA">
        <w:t xml:space="preserve"> </w:t>
      </w:r>
      <w:r w:rsidR="00011596" w:rsidRPr="00011596">
        <w:rPr>
          <w:rFonts w:cs="Times New Roman"/>
          <w:sz w:val="14"/>
          <w:szCs w:val="14"/>
        </w:rPr>
        <w:t>LaVecchia, O. and Mitchell, S., 2014. North Dakota's Pharmacy Ownership Law. [ebook] ILSR. Available at: &lt;https://ilsr.org/wp-content/uploads/2014/10/ND_Pharmacy_Ownership_Report.pdf&gt; [Accessed 17 November 2020].</w:t>
      </w:r>
    </w:p>
  </w:footnote>
  <w:footnote w:id="11">
    <w:p w14:paraId="1BD67A78" w14:textId="77777777" w:rsidR="00E11722" w:rsidRPr="000637A5" w:rsidRDefault="00E11722" w:rsidP="00E11722">
      <w:pPr>
        <w:widowControl w:val="0"/>
        <w:autoSpaceDE w:val="0"/>
        <w:autoSpaceDN w:val="0"/>
        <w:adjustRightInd w:val="0"/>
        <w:spacing w:before="240" w:after="240" w:line="240" w:lineRule="auto"/>
        <w:ind w:left="720" w:hanging="720"/>
        <w:rPr>
          <w:rFonts w:cs="Times New Roman"/>
          <w:sz w:val="14"/>
          <w:szCs w:val="14"/>
        </w:rPr>
      </w:pPr>
      <w:r w:rsidRPr="00E259EA">
        <w:rPr>
          <w:rStyle w:val="FootnoteReference"/>
          <w:szCs w:val="24"/>
        </w:rPr>
        <w:footnoteRef/>
      </w:r>
      <w:r w:rsidRPr="00E259EA">
        <w:rPr>
          <w:szCs w:val="24"/>
        </w:rPr>
        <w:t xml:space="preserve"> </w:t>
      </w:r>
      <w:r w:rsidRPr="000637A5">
        <w:rPr>
          <w:rFonts w:cs="Times New Roman"/>
          <w:sz w:val="14"/>
          <w:szCs w:val="14"/>
        </w:rPr>
        <w:t>Rowland, Darrel, and Lucas Sullivan. “Ohio Shies Away from Drug Plan That Saved West Virginia $38 Million.” The Columbus Dispatch, May 6, 2018. https://www.dispatch.com/news/20180504/ohio-shies-away-from-drug-plan-that-saved-west-virginia-38 million</w:t>
      </w:r>
      <w:proofErr w:type="gramStart"/>
      <w:r w:rsidRPr="000637A5">
        <w:rPr>
          <w:rFonts w:cs="Times New Roman"/>
          <w:sz w:val="14"/>
          <w:szCs w:val="14"/>
        </w:rPr>
        <w:t>#:~</w:t>
      </w:r>
      <w:proofErr w:type="gramEnd"/>
      <w:r w:rsidRPr="000637A5">
        <w:rPr>
          <w:rFonts w:cs="Times New Roman"/>
          <w:sz w:val="14"/>
          <w:szCs w:val="14"/>
        </w:rPr>
        <w:t>:text=West%20Virginia’s%20state%20pharmacy%20board,million%20in%20its%20first%20year.&amp;text=Stevens%2C%20executive%20director%20of%20the%20West%20Virginia%20Pharmacists%20Association.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0650066"/>
      <w:docPartObj>
        <w:docPartGallery w:val="Page Numbers (Top of Page)"/>
        <w:docPartUnique/>
      </w:docPartObj>
    </w:sdtPr>
    <w:sdtEndPr>
      <w:rPr>
        <w:noProof/>
      </w:rPr>
    </w:sdtEndPr>
    <w:sdtContent>
      <w:p w14:paraId="5B785310" w14:textId="46A48805" w:rsidR="00666EC2" w:rsidRDefault="00666EC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A7D373" w14:textId="77777777" w:rsidR="00666EC2" w:rsidRDefault="00666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A64E6"/>
    <w:multiLevelType w:val="hybridMultilevel"/>
    <w:tmpl w:val="42DECEA6"/>
    <w:lvl w:ilvl="0" w:tplc="20CCA4D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93858"/>
    <w:multiLevelType w:val="hybridMultilevel"/>
    <w:tmpl w:val="68948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F096C"/>
    <w:multiLevelType w:val="hybridMultilevel"/>
    <w:tmpl w:val="638A2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74644"/>
    <w:multiLevelType w:val="hybridMultilevel"/>
    <w:tmpl w:val="BE9A9C82"/>
    <w:lvl w:ilvl="0" w:tplc="F29E1CF0">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8C5431"/>
    <w:multiLevelType w:val="multilevel"/>
    <w:tmpl w:val="25B27C7C"/>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1NzAzMrKwtDAzNzZV0lEKTi0uzszPAykwrAUAljc86SwAAAA="/>
  </w:docVars>
  <w:rsids>
    <w:rsidRoot w:val="008A3A90"/>
    <w:rsid w:val="00006E67"/>
    <w:rsid w:val="000109E0"/>
    <w:rsid w:val="00011596"/>
    <w:rsid w:val="000204BC"/>
    <w:rsid w:val="00023510"/>
    <w:rsid w:val="00030482"/>
    <w:rsid w:val="000478DF"/>
    <w:rsid w:val="00055F8B"/>
    <w:rsid w:val="000632C9"/>
    <w:rsid w:val="000637A5"/>
    <w:rsid w:val="000C5778"/>
    <w:rsid w:val="000D335F"/>
    <w:rsid w:val="0011254B"/>
    <w:rsid w:val="00121740"/>
    <w:rsid w:val="00124AC3"/>
    <w:rsid w:val="00152643"/>
    <w:rsid w:val="001737C3"/>
    <w:rsid w:val="001A6D5F"/>
    <w:rsid w:val="001B56B4"/>
    <w:rsid w:val="00216C79"/>
    <w:rsid w:val="0022037B"/>
    <w:rsid w:val="002414A9"/>
    <w:rsid w:val="002A2302"/>
    <w:rsid w:val="002A36A4"/>
    <w:rsid w:val="002A4DD0"/>
    <w:rsid w:val="0031060F"/>
    <w:rsid w:val="0035646B"/>
    <w:rsid w:val="00366808"/>
    <w:rsid w:val="00367825"/>
    <w:rsid w:val="00376800"/>
    <w:rsid w:val="003E7BD9"/>
    <w:rsid w:val="003F2A95"/>
    <w:rsid w:val="003F5762"/>
    <w:rsid w:val="00405E92"/>
    <w:rsid w:val="004216A7"/>
    <w:rsid w:val="004317DE"/>
    <w:rsid w:val="00450D7D"/>
    <w:rsid w:val="0046279B"/>
    <w:rsid w:val="00465A5C"/>
    <w:rsid w:val="00477346"/>
    <w:rsid w:val="004960DE"/>
    <w:rsid w:val="004B2E5C"/>
    <w:rsid w:val="004B6C60"/>
    <w:rsid w:val="00527E54"/>
    <w:rsid w:val="00532548"/>
    <w:rsid w:val="005342F5"/>
    <w:rsid w:val="0054370A"/>
    <w:rsid w:val="005620A6"/>
    <w:rsid w:val="00566B43"/>
    <w:rsid w:val="005749E8"/>
    <w:rsid w:val="005F7742"/>
    <w:rsid w:val="00610EB1"/>
    <w:rsid w:val="00622D1B"/>
    <w:rsid w:val="00636151"/>
    <w:rsid w:val="00643F9D"/>
    <w:rsid w:val="00666EC2"/>
    <w:rsid w:val="0068372A"/>
    <w:rsid w:val="006E2647"/>
    <w:rsid w:val="00702572"/>
    <w:rsid w:val="00731D41"/>
    <w:rsid w:val="00735BC3"/>
    <w:rsid w:val="00773735"/>
    <w:rsid w:val="00794F03"/>
    <w:rsid w:val="007C4A83"/>
    <w:rsid w:val="0080508D"/>
    <w:rsid w:val="00810D39"/>
    <w:rsid w:val="008211B1"/>
    <w:rsid w:val="00832D30"/>
    <w:rsid w:val="00833560"/>
    <w:rsid w:val="00835EE7"/>
    <w:rsid w:val="00850051"/>
    <w:rsid w:val="00854D02"/>
    <w:rsid w:val="008A3A90"/>
    <w:rsid w:val="008C2445"/>
    <w:rsid w:val="008D471F"/>
    <w:rsid w:val="008F667F"/>
    <w:rsid w:val="00933793"/>
    <w:rsid w:val="0094412D"/>
    <w:rsid w:val="009A2111"/>
    <w:rsid w:val="009C15E1"/>
    <w:rsid w:val="00A27A5D"/>
    <w:rsid w:val="00A81266"/>
    <w:rsid w:val="00A90CC6"/>
    <w:rsid w:val="00AC56D6"/>
    <w:rsid w:val="00B032C8"/>
    <w:rsid w:val="00B10288"/>
    <w:rsid w:val="00B45A07"/>
    <w:rsid w:val="00B61812"/>
    <w:rsid w:val="00BA2BB5"/>
    <w:rsid w:val="00BD1B46"/>
    <w:rsid w:val="00BD7F1A"/>
    <w:rsid w:val="00C22868"/>
    <w:rsid w:val="00C50E73"/>
    <w:rsid w:val="00C83E3D"/>
    <w:rsid w:val="00C83E61"/>
    <w:rsid w:val="00C91800"/>
    <w:rsid w:val="00C932A9"/>
    <w:rsid w:val="00C97B0E"/>
    <w:rsid w:val="00CA5BD1"/>
    <w:rsid w:val="00CB589E"/>
    <w:rsid w:val="00CC2CA5"/>
    <w:rsid w:val="00CD1AFA"/>
    <w:rsid w:val="00CE093D"/>
    <w:rsid w:val="00CE1587"/>
    <w:rsid w:val="00D2501D"/>
    <w:rsid w:val="00D567A0"/>
    <w:rsid w:val="00D70ACF"/>
    <w:rsid w:val="00D74569"/>
    <w:rsid w:val="00D84DDF"/>
    <w:rsid w:val="00D859F7"/>
    <w:rsid w:val="00DC31E0"/>
    <w:rsid w:val="00E11722"/>
    <w:rsid w:val="00E22CC1"/>
    <w:rsid w:val="00E235F4"/>
    <w:rsid w:val="00E259EA"/>
    <w:rsid w:val="00E40E98"/>
    <w:rsid w:val="00E51C52"/>
    <w:rsid w:val="00E54A7D"/>
    <w:rsid w:val="00E967B4"/>
    <w:rsid w:val="00ED7222"/>
    <w:rsid w:val="00EE51AA"/>
    <w:rsid w:val="00EF70D5"/>
    <w:rsid w:val="00F64FDB"/>
    <w:rsid w:val="00F70763"/>
    <w:rsid w:val="00F74396"/>
    <w:rsid w:val="00F85E5B"/>
    <w:rsid w:val="00F9649D"/>
    <w:rsid w:val="00FB5877"/>
    <w:rsid w:val="00FC0C3F"/>
    <w:rsid w:val="00FC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7200"/>
  <w15:chartTrackingRefBased/>
  <w15:docId w15:val="{DBC37C3A-8D3F-4039-80EC-CCD7D597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A90"/>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D859F7"/>
    <w:pPr>
      <w:spacing w:line="240" w:lineRule="auto"/>
      <w:jc w:val="center"/>
      <w:outlineLvl w:val="0"/>
    </w:pPr>
    <w:rPr>
      <w:b/>
      <w:bCs/>
      <w:sz w:val="32"/>
      <w:szCs w:val="28"/>
    </w:rPr>
  </w:style>
  <w:style w:type="paragraph" w:styleId="Heading2">
    <w:name w:val="heading 2"/>
    <w:basedOn w:val="Normal"/>
    <w:next w:val="Normal"/>
    <w:link w:val="Heading2Char"/>
    <w:uiPriority w:val="9"/>
    <w:unhideWhenUsed/>
    <w:qFormat/>
    <w:rsid w:val="00810D39"/>
    <w:pPr>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semiHidden/>
    <w:unhideWhenUsed/>
    <w:rsid w:val="004B2E5C"/>
    <w:pPr>
      <w:spacing w:line="240" w:lineRule="auto"/>
      <w:ind w:left="576"/>
    </w:pPr>
    <w:rPr>
      <w:szCs w:val="24"/>
    </w:rPr>
  </w:style>
  <w:style w:type="paragraph" w:styleId="TOC1">
    <w:name w:val="toc 1"/>
    <w:basedOn w:val="Normal"/>
    <w:next w:val="Normal"/>
    <w:autoRedefine/>
    <w:uiPriority w:val="39"/>
    <w:unhideWhenUsed/>
    <w:qFormat/>
    <w:rsid w:val="004B2E5C"/>
    <w:pPr>
      <w:tabs>
        <w:tab w:val="left" w:pos="567"/>
        <w:tab w:val="right" w:leader="dot" w:pos="8210"/>
      </w:tabs>
      <w:spacing w:before="240" w:after="120" w:line="240" w:lineRule="auto"/>
    </w:pPr>
    <w:rPr>
      <w:rFonts w:cstheme="majorHAnsi"/>
      <w:bCs/>
      <w:noProof/>
      <w:sz w:val="28"/>
      <w:szCs w:val="28"/>
      <w:lang w:val="en-IN"/>
    </w:rPr>
  </w:style>
  <w:style w:type="table" w:styleId="TableGrid">
    <w:name w:val="Table Grid"/>
    <w:basedOn w:val="TableNormal"/>
    <w:uiPriority w:val="59"/>
    <w:rsid w:val="00D84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59F7"/>
    <w:rPr>
      <w:rFonts w:ascii="Times New Roman" w:hAnsi="Times New Roman"/>
      <w:b/>
      <w:bCs/>
      <w:sz w:val="32"/>
      <w:szCs w:val="28"/>
    </w:rPr>
  </w:style>
  <w:style w:type="paragraph" w:styleId="ListParagraph">
    <w:name w:val="List Paragraph"/>
    <w:basedOn w:val="Normal"/>
    <w:uiPriority w:val="34"/>
    <w:qFormat/>
    <w:rsid w:val="00124AC3"/>
    <w:pPr>
      <w:ind w:left="720"/>
      <w:contextualSpacing/>
    </w:pPr>
  </w:style>
  <w:style w:type="paragraph" w:styleId="FootnoteText">
    <w:name w:val="footnote text"/>
    <w:basedOn w:val="Normal"/>
    <w:link w:val="FootnoteTextChar"/>
    <w:uiPriority w:val="99"/>
    <w:semiHidden/>
    <w:unhideWhenUsed/>
    <w:rsid w:val="008A3A90"/>
    <w:pPr>
      <w:spacing w:line="240" w:lineRule="auto"/>
      <w:ind w:firstLine="720"/>
    </w:pPr>
    <w:rPr>
      <w:sz w:val="20"/>
      <w:szCs w:val="20"/>
    </w:rPr>
  </w:style>
  <w:style w:type="character" w:customStyle="1" w:styleId="FootnoteTextChar">
    <w:name w:val="Footnote Text Char"/>
    <w:basedOn w:val="DefaultParagraphFont"/>
    <w:link w:val="FootnoteText"/>
    <w:uiPriority w:val="99"/>
    <w:semiHidden/>
    <w:rsid w:val="008A3A90"/>
    <w:rPr>
      <w:rFonts w:ascii="Times New Roman" w:hAnsi="Times New Roman"/>
      <w:sz w:val="20"/>
      <w:szCs w:val="20"/>
    </w:rPr>
  </w:style>
  <w:style w:type="character" w:styleId="FootnoteReference">
    <w:name w:val="footnote reference"/>
    <w:basedOn w:val="DefaultParagraphFont"/>
    <w:uiPriority w:val="99"/>
    <w:semiHidden/>
    <w:unhideWhenUsed/>
    <w:rsid w:val="008A3A90"/>
    <w:rPr>
      <w:vertAlign w:val="superscript"/>
    </w:rPr>
  </w:style>
  <w:style w:type="character" w:customStyle="1" w:styleId="Heading2Char">
    <w:name w:val="Heading 2 Char"/>
    <w:basedOn w:val="DefaultParagraphFont"/>
    <w:link w:val="Heading2"/>
    <w:uiPriority w:val="9"/>
    <w:rsid w:val="00810D39"/>
    <w:rPr>
      <w:rFonts w:ascii="Times New Roman" w:hAnsi="Times New Roman"/>
      <w:sz w:val="24"/>
    </w:rPr>
  </w:style>
  <w:style w:type="paragraph" w:styleId="Header">
    <w:name w:val="header"/>
    <w:basedOn w:val="Normal"/>
    <w:link w:val="HeaderChar"/>
    <w:uiPriority w:val="99"/>
    <w:unhideWhenUsed/>
    <w:rsid w:val="00666EC2"/>
    <w:pPr>
      <w:tabs>
        <w:tab w:val="center" w:pos="4680"/>
        <w:tab w:val="right" w:pos="9360"/>
      </w:tabs>
      <w:spacing w:line="240" w:lineRule="auto"/>
    </w:pPr>
  </w:style>
  <w:style w:type="character" w:customStyle="1" w:styleId="HeaderChar">
    <w:name w:val="Header Char"/>
    <w:basedOn w:val="DefaultParagraphFont"/>
    <w:link w:val="Header"/>
    <w:uiPriority w:val="99"/>
    <w:rsid w:val="00666EC2"/>
    <w:rPr>
      <w:rFonts w:ascii="Times New Roman" w:hAnsi="Times New Roman"/>
      <w:sz w:val="24"/>
    </w:rPr>
  </w:style>
  <w:style w:type="paragraph" w:styleId="Footer">
    <w:name w:val="footer"/>
    <w:basedOn w:val="Normal"/>
    <w:link w:val="FooterChar"/>
    <w:uiPriority w:val="99"/>
    <w:unhideWhenUsed/>
    <w:rsid w:val="00666EC2"/>
    <w:pPr>
      <w:tabs>
        <w:tab w:val="center" w:pos="4680"/>
        <w:tab w:val="right" w:pos="9360"/>
      </w:tabs>
      <w:spacing w:line="240" w:lineRule="auto"/>
    </w:pPr>
  </w:style>
  <w:style w:type="character" w:customStyle="1" w:styleId="FooterChar">
    <w:name w:val="Footer Char"/>
    <w:basedOn w:val="DefaultParagraphFont"/>
    <w:link w:val="Footer"/>
    <w:uiPriority w:val="99"/>
    <w:rsid w:val="00666EC2"/>
    <w:rPr>
      <w:rFonts w:ascii="Times New Roman" w:hAnsi="Times New Roman"/>
      <w:sz w:val="24"/>
    </w:rPr>
  </w:style>
  <w:style w:type="character" w:styleId="Hyperlink">
    <w:name w:val="Hyperlink"/>
    <w:basedOn w:val="DefaultParagraphFont"/>
    <w:uiPriority w:val="99"/>
    <w:unhideWhenUsed/>
    <w:rsid w:val="00566B43"/>
    <w:rPr>
      <w:color w:val="0563C1" w:themeColor="hyperlink"/>
      <w:u w:val="single"/>
    </w:rPr>
  </w:style>
  <w:style w:type="character" w:styleId="UnresolvedMention">
    <w:name w:val="Unresolved Mention"/>
    <w:basedOn w:val="DefaultParagraphFont"/>
    <w:uiPriority w:val="99"/>
    <w:semiHidden/>
    <w:unhideWhenUsed/>
    <w:rsid w:val="00566B43"/>
    <w:rPr>
      <w:color w:val="605E5C"/>
      <w:shd w:val="clear" w:color="auto" w:fill="E1DFDD"/>
    </w:rPr>
  </w:style>
  <w:style w:type="paragraph" w:styleId="Bibliography">
    <w:name w:val="Bibliography"/>
    <w:basedOn w:val="Normal"/>
    <w:next w:val="Normal"/>
    <w:uiPriority w:val="37"/>
    <w:unhideWhenUsed/>
    <w:rsid w:val="00CA5BD1"/>
  </w:style>
  <w:style w:type="paragraph" w:styleId="NormalWeb">
    <w:name w:val="Normal (Web)"/>
    <w:basedOn w:val="Normal"/>
    <w:uiPriority w:val="99"/>
    <w:unhideWhenUsed/>
    <w:rsid w:val="00CA5BD1"/>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CA5BD1"/>
    <w:rPr>
      <w:color w:val="954F72" w:themeColor="followedHyperlink"/>
      <w:u w:val="single"/>
    </w:rPr>
  </w:style>
  <w:style w:type="character" w:styleId="CommentReference">
    <w:name w:val="annotation reference"/>
    <w:basedOn w:val="DefaultParagraphFont"/>
    <w:uiPriority w:val="99"/>
    <w:semiHidden/>
    <w:unhideWhenUsed/>
    <w:rsid w:val="00AC56D6"/>
    <w:rPr>
      <w:sz w:val="16"/>
      <w:szCs w:val="16"/>
    </w:rPr>
  </w:style>
  <w:style w:type="paragraph" w:styleId="CommentText">
    <w:name w:val="annotation text"/>
    <w:basedOn w:val="Normal"/>
    <w:link w:val="CommentTextChar"/>
    <w:uiPriority w:val="99"/>
    <w:semiHidden/>
    <w:unhideWhenUsed/>
    <w:rsid w:val="00AC56D6"/>
    <w:pPr>
      <w:spacing w:line="240" w:lineRule="auto"/>
    </w:pPr>
    <w:rPr>
      <w:sz w:val="20"/>
      <w:szCs w:val="20"/>
    </w:rPr>
  </w:style>
  <w:style w:type="character" w:customStyle="1" w:styleId="CommentTextChar">
    <w:name w:val="Comment Text Char"/>
    <w:basedOn w:val="DefaultParagraphFont"/>
    <w:link w:val="CommentText"/>
    <w:uiPriority w:val="99"/>
    <w:semiHidden/>
    <w:rsid w:val="00AC56D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C56D6"/>
    <w:rPr>
      <w:b/>
      <w:bCs/>
    </w:rPr>
  </w:style>
  <w:style w:type="character" w:customStyle="1" w:styleId="CommentSubjectChar">
    <w:name w:val="Comment Subject Char"/>
    <w:basedOn w:val="CommentTextChar"/>
    <w:link w:val="CommentSubject"/>
    <w:uiPriority w:val="99"/>
    <w:semiHidden/>
    <w:rsid w:val="00AC56D6"/>
    <w:rPr>
      <w:rFonts w:ascii="Times New Roman" w:hAnsi="Times New Roman"/>
      <w:b/>
      <w:bCs/>
      <w:sz w:val="20"/>
      <w:szCs w:val="20"/>
    </w:rPr>
  </w:style>
  <w:style w:type="paragraph" w:styleId="BalloonText">
    <w:name w:val="Balloon Text"/>
    <w:basedOn w:val="Normal"/>
    <w:link w:val="BalloonTextChar"/>
    <w:uiPriority w:val="99"/>
    <w:semiHidden/>
    <w:unhideWhenUsed/>
    <w:rsid w:val="00AC56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6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7225">
      <w:bodyDiv w:val="1"/>
      <w:marLeft w:val="0"/>
      <w:marRight w:val="0"/>
      <w:marTop w:val="0"/>
      <w:marBottom w:val="0"/>
      <w:divBdr>
        <w:top w:val="none" w:sz="0" w:space="0" w:color="auto"/>
        <w:left w:val="none" w:sz="0" w:space="0" w:color="auto"/>
        <w:bottom w:val="none" w:sz="0" w:space="0" w:color="auto"/>
        <w:right w:val="none" w:sz="0" w:space="0" w:color="auto"/>
      </w:divBdr>
    </w:div>
    <w:div w:id="999120623">
      <w:bodyDiv w:val="1"/>
      <w:marLeft w:val="0"/>
      <w:marRight w:val="0"/>
      <w:marTop w:val="0"/>
      <w:marBottom w:val="0"/>
      <w:divBdr>
        <w:top w:val="none" w:sz="0" w:space="0" w:color="auto"/>
        <w:left w:val="none" w:sz="0" w:space="0" w:color="auto"/>
        <w:bottom w:val="none" w:sz="0" w:space="0" w:color="auto"/>
        <w:right w:val="none" w:sz="0" w:space="0" w:color="auto"/>
      </w:divBdr>
    </w:div>
    <w:div w:id="1119950760">
      <w:bodyDiv w:val="1"/>
      <w:marLeft w:val="0"/>
      <w:marRight w:val="0"/>
      <w:marTop w:val="0"/>
      <w:marBottom w:val="0"/>
      <w:divBdr>
        <w:top w:val="none" w:sz="0" w:space="0" w:color="auto"/>
        <w:left w:val="none" w:sz="0" w:space="0" w:color="auto"/>
        <w:bottom w:val="none" w:sz="0" w:space="0" w:color="auto"/>
        <w:right w:val="none" w:sz="0" w:space="0" w:color="auto"/>
      </w:divBdr>
    </w:div>
    <w:div w:id="16861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shingtonpost.com/news/powerpost/paloma/the-health-202/2018/08/23/the-health-202-here-s-why-rural-independent-pharmacies-are-closing-their-doors/5b7da33e1b326b7234392b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lsr.org/how-a-rebirth-of-independent-pharmacies-could-cure-rural-il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newsroom/press-releases/cms-issues-new-guidance-addressing-spread-pricing-medicaid-ensures-pharmacy-benefit-managers-are-no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ookings.edu/wpcontent/uploads/2016/06/health_care_spending_state_local_budgets_boyd.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ms.gov/newsroom/press-releases/cms-issues-new-guidance-addressing-spread-pricing-medicaid-ensures-pharmacy-benefit-managers-are-n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CMS19</b:Tag>
    <b:SourceType>JournalArticle</b:SourceType>
    <b:Guid>{3F649795-BD3C-4232-9D6A-D458201B6DF5}</b:Guid>
    <b:Title>CMS Issues New Guidance Addressing Spread Pricing in Medicaid, Ensures Pharmacy Benefit Managers are not Up-Charging Taxpayers</b:Title>
    <b:Year>2019</b:Year>
    <b:JournalName>CMS.gov</b:JournalName>
    <b:RefOrder>1</b:RefOrder>
  </b:Source>
</b:Sources>
</file>

<file path=customXml/itemProps1.xml><?xml version="1.0" encoding="utf-8"?>
<ds:datastoreItem xmlns:ds="http://schemas.openxmlformats.org/officeDocument/2006/customXml" ds:itemID="{97565C5E-C9C7-4962-8A0E-2D3A1649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Joshua Siegel</cp:lastModifiedBy>
  <cp:revision>2</cp:revision>
  <cp:lastPrinted>2020-12-01T12:51:00Z</cp:lastPrinted>
  <dcterms:created xsi:type="dcterms:W3CDTF">2020-12-01T17:41:00Z</dcterms:created>
  <dcterms:modified xsi:type="dcterms:W3CDTF">2020-12-01T17:41:00Z</dcterms:modified>
</cp:coreProperties>
</file>